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AF8AED" w14:textId="77777777" w:rsidR="00C710D0" w:rsidRDefault="00013E8A">
      <w:pPr>
        <w:pStyle w:val="Nadpis1"/>
        <w:numPr>
          <w:ilvl w:val="0"/>
          <w:numId w:val="2"/>
        </w:numPr>
        <w:rPr>
          <w:rFonts w:hint="eastAsia"/>
        </w:rPr>
      </w:pPr>
      <w:r>
        <w:rPr>
          <w:bCs/>
          <w:szCs w:val="32"/>
        </w:rPr>
        <w:t>Příloha č. 3 Životní cyklus implementace EIS</w:t>
      </w:r>
    </w:p>
    <w:p w14:paraId="77719211" w14:textId="77777777" w:rsidR="00C710D0" w:rsidRDefault="00C710D0">
      <w:pPr>
        <w:rPr>
          <w:rFonts w:hint="eastAsia"/>
        </w:rPr>
      </w:pPr>
    </w:p>
    <w:tbl>
      <w:tblPr>
        <w:tblW w:w="14616"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4A0" w:firstRow="1" w:lastRow="0" w:firstColumn="1" w:lastColumn="0" w:noHBand="0" w:noVBand="1"/>
      </w:tblPr>
      <w:tblGrid>
        <w:gridCol w:w="1359"/>
        <w:gridCol w:w="1910"/>
        <w:gridCol w:w="11347"/>
      </w:tblGrid>
      <w:tr w:rsidR="00C710D0" w14:paraId="0882E8F0" w14:textId="77777777">
        <w:trPr>
          <w:cantSplit/>
          <w:trHeight w:val="340"/>
          <w:tblHeader/>
        </w:trPr>
        <w:tc>
          <w:tcPr>
            <w:tcW w:w="1359" w:type="dxa"/>
            <w:tcBorders>
              <w:top w:val="single" w:sz="4" w:space="0" w:color="00000A"/>
              <w:left w:val="single" w:sz="4" w:space="0" w:color="00000A"/>
              <w:bottom w:val="single" w:sz="4" w:space="0" w:color="00000A"/>
              <w:right w:val="single" w:sz="4" w:space="0" w:color="00000A"/>
            </w:tcBorders>
            <w:shd w:val="clear" w:color="auto" w:fill="FFFF99"/>
            <w:vAlign w:val="bottom"/>
          </w:tcPr>
          <w:p w14:paraId="5AFD8C90" w14:textId="77777777" w:rsidR="00C710D0" w:rsidRDefault="00013E8A">
            <w:pPr>
              <w:jc w:val="center"/>
              <w:rPr>
                <w:rFonts w:ascii="Calibri" w:eastAsia="Times New Roman" w:hAnsi="Calibri" w:cs="Arial"/>
                <w:b/>
                <w:bCs/>
                <w:sz w:val="22"/>
                <w:szCs w:val="22"/>
                <w:lang w:eastAsia="en-US" w:bidi="ar-SA"/>
              </w:rPr>
            </w:pPr>
            <w:r>
              <w:rPr>
                <w:rFonts w:ascii="Calibri" w:eastAsia="Times New Roman" w:hAnsi="Calibri" w:cs="Arial"/>
                <w:b/>
                <w:bCs/>
                <w:sz w:val="22"/>
                <w:szCs w:val="22"/>
                <w:lang w:eastAsia="en-US" w:bidi="ar-SA"/>
              </w:rPr>
              <w:t>Etapa</w:t>
            </w:r>
          </w:p>
        </w:tc>
        <w:tc>
          <w:tcPr>
            <w:tcW w:w="1909" w:type="dxa"/>
            <w:tcBorders>
              <w:top w:val="single" w:sz="4" w:space="0" w:color="00000A"/>
              <w:left w:val="single" w:sz="4" w:space="0" w:color="00000A"/>
              <w:bottom w:val="single" w:sz="4" w:space="0" w:color="00000A"/>
              <w:right w:val="single" w:sz="4" w:space="0" w:color="00000A"/>
            </w:tcBorders>
            <w:shd w:val="clear" w:color="auto" w:fill="FFFF99"/>
            <w:vAlign w:val="bottom"/>
          </w:tcPr>
          <w:p w14:paraId="4C0649DA" w14:textId="77777777" w:rsidR="00C710D0" w:rsidRDefault="00013E8A">
            <w:pPr>
              <w:rPr>
                <w:rFonts w:ascii="Calibri" w:eastAsia="Times New Roman" w:hAnsi="Calibri" w:cs="Arial"/>
                <w:b/>
                <w:bCs/>
                <w:sz w:val="22"/>
                <w:szCs w:val="22"/>
                <w:lang w:eastAsia="en-US" w:bidi="ar-SA"/>
              </w:rPr>
            </w:pPr>
            <w:r>
              <w:rPr>
                <w:rFonts w:ascii="Calibri" w:eastAsia="Times New Roman" w:hAnsi="Calibri" w:cs="Arial"/>
                <w:b/>
                <w:bCs/>
                <w:sz w:val="22"/>
                <w:szCs w:val="22"/>
                <w:lang w:eastAsia="en-US" w:bidi="ar-SA"/>
              </w:rPr>
              <w:t>Klíčové činnosti</w:t>
            </w:r>
          </w:p>
        </w:tc>
        <w:tc>
          <w:tcPr>
            <w:tcW w:w="11348" w:type="dxa"/>
            <w:tcBorders>
              <w:top w:val="single" w:sz="4" w:space="0" w:color="00000A"/>
              <w:left w:val="single" w:sz="4" w:space="0" w:color="00000A"/>
              <w:bottom w:val="single" w:sz="4" w:space="0" w:color="00000A"/>
              <w:right w:val="single" w:sz="4" w:space="0" w:color="00000A"/>
            </w:tcBorders>
            <w:shd w:val="clear" w:color="auto" w:fill="FFFF99"/>
            <w:vAlign w:val="bottom"/>
          </w:tcPr>
          <w:p w14:paraId="284C0C5C" w14:textId="77777777" w:rsidR="00C710D0" w:rsidRDefault="00013E8A">
            <w:pPr>
              <w:rPr>
                <w:rFonts w:ascii="Calibri" w:eastAsia="Times New Roman" w:hAnsi="Calibri" w:cs="Arial"/>
                <w:b/>
                <w:bCs/>
                <w:sz w:val="22"/>
                <w:szCs w:val="22"/>
                <w:lang w:eastAsia="en-US" w:bidi="ar-SA"/>
              </w:rPr>
            </w:pPr>
            <w:r>
              <w:rPr>
                <w:rFonts w:ascii="Calibri" w:eastAsia="Times New Roman" w:hAnsi="Calibri" w:cs="Arial"/>
                <w:b/>
                <w:bCs/>
                <w:sz w:val="22"/>
                <w:szCs w:val="22"/>
                <w:lang w:eastAsia="en-US" w:bidi="ar-SA"/>
              </w:rPr>
              <w:t>Výsledek</w:t>
            </w:r>
          </w:p>
        </w:tc>
      </w:tr>
      <w:tr w:rsidR="00C710D0" w14:paraId="2BABB7C3" w14:textId="77777777">
        <w:trPr>
          <w:cantSplit/>
        </w:trPr>
        <w:tc>
          <w:tcPr>
            <w:tcW w:w="32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212EE58E" w14:textId="77777777" w:rsidR="00C710D0" w:rsidRDefault="00013E8A">
            <w:pPr>
              <w:rPr>
                <w:rFonts w:hint="eastAsia"/>
              </w:rPr>
            </w:pPr>
            <w:r>
              <w:rPr>
                <w:rFonts w:ascii="Calibri" w:eastAsia="Times New Roman" w:hAnsi="Calibri" w:cs="Arial"/>
                <w:b/>
                <w:bCs/>
                <w:color w:val="C0504D"/>
                <w:sz w:val="22"/>
                <w:szCs w:val="22"/>
                <w:lang w:eastAsia="en-US" w:bidi="ar-SA"/>
              </w:rPr>
              <w:t>Zahájení plnění předmětu smlouvy</w:t>
            </w:r>
          </w:p>
        </w:tc>
        <w:tc>
          <w:tcPr>
            <w:tcW w:w="11347" w:type="dxa"/>
            <w:tcBorders>
              <w:top w:val="single" w:sz="4" w:space="0" w:color="00000A"/>
              <w:left w:val="single" w:sz="4" w:space="0" w:color="00000A"/>
              <w:bottom w:val="single" w:sz="4" w:space="0" w:color="00000A"/>
              <w:right w:val="single" w:sz="4" w:space="0" w:color="00000A"/>
            </w:tcBorders>
            <w:shd w:val="clear" w:color="auto" w:fill="auto"/>
          </w:tcPr>
          <w:p w14:paraId="1F292C10" w14:textId="77777777" w:rsidR="00C710D0" w:rsidRDefault="00013E8A">
            <w:pPr>
              <w:rPr>
                <w:rFonts w:hint="eastAsia"/>
              </w:rPr>
            </w:pPr>
            <w:r>
              <w:rPr>
                <w:rFonts w:ascii="Calibri" w:eastAsia="Times New Roman" w:hAnsi="Calibri" w:cs="Arial"/>
                <w:sz w:val="22"/>
                <w:szCs w:val="22"/>
                <w:lang w:eastAsia="en-US" w:bidi="ar-SA"/>
              </w:rPr>
              <w:t>Podepsané smlouvy:</w:t>
            </w:r>
          </w:p>
          <w:p w14:paraId="098C337D" w14:textId="77777777" w:rsidR="00C710D0" w:rsidRDefault="00013E8A">
            <w:pPr>
              <w:numPr>
                <w:ilvl w:val="0"/>
                <w:numId w:val="3"/>
              </w:numPr>
              <w:rPr>
                <w:rFonts w:hint="eastAsia"/>
              </w:rPr>
            </w:pPr>
            <w:r>
              <w:rPr>
                <w:rFonts w:ascii="Calibri" w:eastAsia="Times New Roman" w:hAnsi="Calibri" w:cs="Arial"/>
                <w:b/>
                <w:bCs/>
                <w:sz w:val="22"/>
                <w:szCs w:val="22"/>
                <w:lang w:eastAsia="en-US" w:bidi="ar-SA"/>
              </w:rPr>
              <w:t>Smlouva na dodávku a implementaci</w:t>
            </w:r>
            <w:r>
              <w:rPr>
                <w:rFonts w:ascii="Calibri" w:eastAsia="Times New Roman" w:hAnsi="Calibri" w:cs="Arial"/>
                <w:sz w:val="22"/>
                <w:szCs w:val="22"/>
                <w:lang w:eastAsia="en-US" w:bidi="ar-SA"/>
              </w:rPr>
              <w:t xml:space="preserve"> informačního systému (smlouva o dílo),</w:t>
            </w:r>
          </w:p>
          <w:p w14:paraId="629FF56F" w14:textId="77777777" w:rsidR="00C710D0" w:rsidRDefault="00013E8A">
            <w:pPr>
              <w:numPr>
                <w:ilvl w:val="0"/>
                <w:numId w:val="3"/>
              </w:numPr>
              <w:rPr>
                <w:rFonts w:hint="eastAsia"/>
              </w:rPr>
            </w:pPr>
            <w:r>
              <w:rPr>
                <w:rFonts w:ascii="Calibri" w:eastAsia="Times New Roman" w:hAnsi="Calibri" w:cs="Arial"/>
                <w:b/>
                <w:bCs/>
                <w:sz w:val="22"/>
                <w:szCs w:val="22"/>
                <w:lang w:eastAsia="en-US" w:bidi="ar-SA"/>
              </w:rPr>
              <w:t>Smlouva na servisní podporu</w:t>
            </w:r>
            <w:r>
              <w:rPr>
                <w:rFonts w:ascii="Calibri" w:eastAsia="Times New Roman" w:hAnsi="Calibri" w:cs="Arial"/>
                <w:sz w:val="22"/>
                <w:szCs w:val="22"/>
                <w:lang w:eastAsia="en-US" w:bidi="ar-SA"/>
              </w:rPr>
              <w:t xml:space="preserve"> provozu informačního systému (účinnost od zahájení ostrého provozu systému),</w:t>
            </w:r>
          </w:p>
          <w:p w14:paraId="2D9797EA" w14:textId="77777777" w:rsidR="00C710D0" w:rsidRDefault="00013E8A">
            <w:pPr>
              <w:numPr>
                <w:ilvl w:val="0"/>
                <w:numId w:val="3"/>
              </w:numPr>
              <w:rPr>
                <w:rFonts w:hint="eastAsia"/>
              </w:rPr>
            </w:pPr>
            <w:r>
              <w:rPr>
                <w:rFonts w:ascii="Calibri" w:eastAsia="Times New Roman" w:hAnsi="Calibri" w:cs="Arial"/>
                <w:b/>
                <w:bCs/>
                <w:sz w:val="22"/>
                <w:szCs w:val="22"/>
                <w:lang w:eastAsia="en-US" w:bidi="ar-SA"/>
              </w:rPr>
              <w:t xml:space="preserve">Licenční ujednání </w:t>
            </w:r>
            <w:r>
              <w:rPr>
                <w:rFonts w:ascii="Calibri" w:eastAsia="Times New Roman" w:hAnsi="Calibri" w:cs="Arial"/>
                <w:sz w:val="22"/>
                <w:szCs w:val="22"/>
                <w:lang w:eastAsia="en-US" w:bidi="ar-SA"/>
              </w:rPr>
              <w:t>(může být začleněno do Smlouvy na dodávku a implementaci).</w:t>
            </w:r>
          </w:p>
        </w:tc>
      </w:tr>
      <w:tr w:rsidR="00C710D0" w14:paraId="4658C261" w14:textId="77777777">
        <w:trPr>
          <w:cantSplit/>
        </w:trPr>
        <w:tc>
          <w:tcPr>
            <w:tcW w:w="1359" w:type="dxa"/>
            <w:vMerge w:val="restart"/>
            <w:tcBorders>
              <w:top w:val="single" w:sz="4" w:space="0" w:color="00000A"/>
              <w:left w:val="single" w:sz="4" w:space="0" w:color="00000A"/>
              <w:bottom w:val="single" w:sz="4" w:space="0" w:color="00000A"/>
              <w:right w:val="single" w:sz="4" w:space="0" w:color="00000A"/>
            </w:tcBorders>
            <w:shd w:val="clear" w:color="auto" w:fill="DDDDDD"/>
            <w:vAlign w:val="center"/>
          </w:tcPr>
          <w:p w14:paraId="75B57FD0" w14:textId="77777777" w:rsidR="00C710D0" w:rsidRDefault="00013E8A">
            <w:pPr>
              <w:jc w:val="cente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1. Prototyp</w:t>
            </w: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EF555CF"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1.1 Iniciace (definice) projektu</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34E9BACB" w14:textId="77777777" w:rsidR="00C710D0" w:rsidRDefault="00013E8A">
            <w:pPr>
              <w:rPr>
                <w:rFonts w:hint="eastAsia"/>
              </w:rPr>
            </w:pPr>
            <w:r>
              <w:rPr>
                <w:rFonts w:ascii="Calibri" w:eastAsia="Times New Roman" w:hAnsi="Calibri" w:cs="Arial"/>
                <w:sz w:val="22"/>
                <w:szCs w:val="22"/>
                <w:lang w:eastAsia="en-US" w:bidi="ar-SA"/>
              </w:rPr>
              <w:t xml:space="preserve">Dokument </w:t>
            </w:r>
            <w:r>
              <w:rPr>
                <w:rFonts w:ascii="Calibri" w:eastAsia="Times New Roman" w:hAnsi="Calibri" w:cs="Arial"/>
                <w:b/>
                <w:bCs/>
                <w:sz w:val="22"/>
                <w:szCs w:val="22"/>
                <w:lang w:eastAsia="en-US" w:bidi="ar-SA"/>
              </w:rPr>
              <w:t>Zakládací listina projektu</w:t>
            </w:r>
            <w:r>
              <w:rPr>
                <w:rFonts w:ascii="Calibri" w:eastAsia="Times New Roman" w:hAnsi="Calibri" w:cs="Arial"/>
                <w:sz w:val="22"/>
                <w:szCs w:val="22"/>
                <w:lang w:eastAsia="en-US" w:bidi="ar-SA"/>
              </w:rPr>
              <w:t xml:space="preserve"> (schválený Objednatelem). </w:t>
            </w:r>
          </w:p>
          <w:p w14:paraId="05AFDA5D" w14:textId="77777777" w:rsidR="00C710D0" w:rsidRDefault="00013E8A">
            <w:pPr>
              <w:rPr>
                <w:rFonts w:hint="eastAsia"/>
              </w:rPr>
            </w:pPr>
            <w:r>
              <w:rPr>
                <w:rFonts w:ascii="Calibri" w:eastAsia="Times New Roman" w:hAnsi="Calibri" w:cs="Arial"/>
                <w:sz w:val="22"/>
                <w:szCs w:val="22"/>
                <w:lang w:eastAsia="en-US" w:bidi="ar-SA"/>
              </w:rPr>
              <w:t>Zahrnuje zejména účel, cíle a etapy projektu, organizaci a týmy projektu, způsob komunikace a vedení dokumentace na projektu, způsob řízení požadavků a rizik projektu a eskalační postup na projektu.</w:t>
            </w:r>
          </w:p>
        </w:tc>
      </w:tr>
      <w:tr w:rsidR="00C710D0" w14:paraId="6C16BB9B"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5625DD9A"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5B33909"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1.2. Zpracování Technické studie</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479FCAD0" w14:textId="77777777" w:rsidR="00C710D0" w:rsidRDefault="00013E8A">
            <w:pPr>
              <w:rPr>
                <w:rFonts w:hint="eastAsia"/>
              </w:rPr>
            </w:pPr>
            <w:r>
              <w:rPr>
                <w:rFonts w:ascii="Calibri" w:eastAsia="Times New Roman" w:hAnsi="Calibri" w:cs="Arial"/>
                <w:sz w:val="22"/>
                <w:szCs w:val="22"/>
                <w:lang w:eastAsia="en-US" w:bidi="ar-SA"/>
              </w:rPr>
              <w:t xml:space="preserve">Dokument </w:t>
            </w:r>
            <w:r>
              <w:rPr>
                <w:rFonts w:ascii="Calibri" w:eastAsia="Times New Roman" w:hAnsi="Calibri" w:cs="Arial"/>
                <w:b/>
                <w:bCs/>
                <w:sz w:val="22"/>
                <w:szCs w:val="22"/>
                <w:lang w:eastAsia="en-US" w:bidi="ar-SA"/>
              </w:rPr>
              <w:t>Technická studie</w:t>
            </w:r>
            <w:r>
              <w:rPr>
                <w:rFonts w:ascii="Calibri" w:eastAsia="Times New Roman" w:hAnsi="Calibri" w:cs="Arial"/>
                <w:sz w:val="22"/>
                <w:szCs w:val="22"/>
                <w:lang w:eastAsia="en-US" w:bidi="ar-SA"/>
              </w:rPr>
              <w:t xml:space="preserve"> (schválený Objednatelem). </w:t>
            </w:r>
          </w:p>
          <w:p w14:paraId="58345E69" w14:textId="77777777" w:rsidR="00C710D0" w:rsidRDefault="00013E8A">
            <w:pPr>
              <w:rPr>
                <w:rFonts w:hint="eastAsia"/>
              </w:rPr>
            </w:pPr>
            <w:r>
              <w:rPr>
                <w:rFonts w:ascii="Calibri" w:eastAsia="Times New Roman" w:hAnsi="Calibri" w:cs="Arial"/>
                <w:sz w:val="22"/>
                <w:szCs w:val="22"/>
                <w:lang w:eastAsia="en-US" w:bidi="ar-SA"/>
              </w:rPr>
              <w:t xml:space="preserve">Zahrnuje zejména technický návrh </w:t>
            </w:r>
            <w:r>
              <w:rPr>
                <w:rFonts w:ascii="Calibri" w:eastAsia="Times New Roman" w:hAnsi="Calibri" w:cs="Arial"/>
                <w:b/>
                <w:bCs/>
                <w:sz w:val="22"/>
                <w:szCs w:val="22"/>
                <w:lang w:eastAsia="en-US" w:bidi="ar-SA"/>
              </w:rPr>
              <w:t>konfigurace prvků infrastrukturní platformy</w:t>
            </w:r>
            <w:r>
              <w:rPr>
                <w:rFonts w:ascii="Calibri" w:eastAsia="Times New Roman" w:hAnsi="Calibri" w:cs="Arial"/>
                <w:sz w:val="22"/>
                <w:szCs w:val="22"/>
                <w:lang w:eastAsia="en-US" w:bidi="ar-SA"/>
              </w:rPr>
              <w:t xml:space="preserve"> obsahující HW, operační systém a databázi pro testovací a produktivní (ostré) prostředí. Studie obsahuje samostatnou část s postupem </w:t>
            </w:r>
            <w:r>
              <w:rPr>
                <w:rFonts w:ascii="Calibri" w:eastAsia="Times New Roman" w:hAnsi="Calibri" w:cs="Arial"/>
                <w:b/>
                <w:bCs/>
                <w:sz w:val="22"/>
                <w:szCs w:val="22"/>
                <w:lang w:eastAsia="en-US" w:bidi="ar-SA"/>
              </w:rPr>
              <w:t>migrace dat</w:t>
            </w:r>
            <w:r>
              <w:rPr>
                <w:rFonts w:ascii="Calibri" w:eastAsia="Times New Roman" w:hAnsi="Calibri" w:cs="Arial"/>
                <w:sz w:val="22"/>
                <w:szCs w:val="22"/>
                <w:lang w:eastAsia="en-US" w:bidi="ar-SA"/>
              </w:rPr>
              <w:t xml:space="preserve"> ze stávajícího systému do nově implementovaného systému. </w:t>
            </w:r>
          </w:p>
        </w:tc>
      </w:tr>
      <w:tr w:rsidR="00C710D0" w14:paraId="7B0A25F9"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3F2824DE"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21B205C" w14:textId="77777777" w:rsidR="00C710D0" w:rsidRDefault="00013E8A">
            <w:pPr>
              <w:rPr>
                <w:rFonts w:hint="eastAsia"/>
              </w:rPr>
            </w:pPr>
            <w:r>
              <w:rPr>
                <w:rFonts w:ascii="Calibri" w:eastAsia="Times New Roman" w:hAnsi="Calibri" w:cs="Arial"/>
                <w:sz w:val="22"/>
                <w:szCs w:val="22"/>
                <w:lang w:eastAsia="en-US" w:bidi="ar-SA"/>
              </w:rPr>
              <w:t>1.3. Příprava prototypu systému</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65B51660" w14:textId="77777777" w:rsidR="00C710D0" w:rsidRDefault="00013E8A">
            <w:pPr>
              <w:rPr>
                <w:rFonts w:hint="eastAsia"/>
              </w:rPr>
            </w:pPr>
            <w:r>
              <w:rPr>
                <w:rFonts w:ascii="Calibri" w:eastAsia="Times New Roman" w:hAnsi="Calibri" w:cs="Arial"/>
                <w:sz w:val="22"/>
                <w:szCs w:val="22"/>
                <w:lang w:eastAsia="en-US" w:bidi="ar-SA"/>
              </w:rPr>
              <w:t>Prototyp systému zahrnuje všechny požadavky na funkcionalitu označené Dodavatelem jako standardní funkcionalita (bez rozlišení, zda šlo o povinný požadavek na funkcionalitu či rozšiřující).</w:t>
            </w:r>
          </w:p>
          <w:p w14:paraId="6F28607A" w14:textId="77777777" w:rsidR="00C710D0" w:rsidRDefault="00013E8A">
            <w:pPr>
              <w:rPr>
                <w:rFonts w:hint="eastAsia"/>
              </w:rPr>
            </w:pPr>
            <w:r>
              <w:rPr>
                <w:rFonts w:ascii="Calibri" w:eastAsia="Times New Roman" w:hAnsi="Calibri" w:cs="Arial"/>
                <w:sz w:val="22"/>
                <w:szCs w:val="22"/>
                <w:lang w:eastAsia="en-US" w:bidi="ar-SA"/>
              </w:rPr>
              <w:t>Interní činnost na straně Dodavatele bez výstupu podléhajícímu schválení.</w:t>
            </w:r>
          </w:p>
        </w:tc>
      </w:tr>
      <w:tr w:rsidR="00C710D0" w14:paraId="3CA1725B"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4F5FB2D3"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5C1BC0" w14:textId="77777777" w:rsidR="00C710D0" w:rsidRDefault="00013E8A">
            <w:pPr>
              <w:rPr>
                <w:rFonts w:hint="eastAsia"/>
              </w:rPr>
            </w:pPr>
            <w:r>
              <w:rPr>
                <w:rFonts w:ascii="Calibri" w:eastAsia="Times New Roman" w:hAnsi="Calibri" w:cs="Arial"/>
                <w:sz w:val="22"/>
                <w:szCs w:val="22"/>
                <w:lang w:eastAsia="en-US" w:bidi="ar-SA"/>
              </w:rPr>
              <w:t>1.4. Předvedení funkčnosti demonstračními testy systému provedenými Dodavatelem</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59A15915" w14:textId="77777777" w:rsidR="00C710D0" w:rsidRDefault="00013E8A">
            <w:pPr>
              <w:rPr>
                <w:rFonts w:hint="eastAsia"/>
              </w:rPr>
            </w:pPr>
            <w:r>
              <w:rPr>
                <w:rFonts w:ascii="Calibri" w:eastAsia="Times New Roman" w:hAnsi="Calibri" w:cs="Arial"/>
                <w:b/>
                <w:bCs/>
                <w:sz w:val="22"/>
                <w:szCs w:val="22"/>
                <w:lang w:eastAsia="en-US" w:bidi="ar-SA"/>
              </w:rPr>
              <w:t>Protokol o výsledcích testů</w:t>
            </w:r>
            <w:r>
              <w:rPr>
                <w:rFonts w:ascii="Calibri" w:eastAsia="Times New Roman" w:hAnsi="Calibri" w:cs="Arial"/>
                <w:sz w:val="22"/>
                <w:szCs w:val="22"/>
                <w:lang w:eastAsia="en-US" w:bidi="ar-SA"/>
              </w:rPr>
              <w:t xml:space="preserve"> (schválený Objednatelem).</w:t>
            </w:r>
          </w:p>
          <w:p w14:paraId="1DE36DA5" w14:textId="77777777" w:rsidR="00C710D0" w:rsidRDefault="00013E8A">
            <w:pPr>
              <w:rPr>
                <w:rFonts w:hint="eastAsia"/>
              </w:rPr>
            </w:pPr>
            <w:r>
              <w:rPr>
                <w:rFonts w:ascii="Calibri" w:eastAsia="Times New Roman" w:hAnsi="Calibri" w:cs="Arial"/>
                <w:sz w:val="22"/>
                <w:szCs w:val="22"/>
                <w:lang w:eastAsia="en-US" w:bidi="ar-SA"/>
              </w:rPr>
              <w:t>Demonstrační testy zahrnují standardní funkcionalitu systému vytvářející prototyp pro Objednatele.</w:t>
            </w:r>
          </w:p>
          <w:p w14:paraId="38F225D0" w14:textId="1079F07F" w:rsidR="00C710D0" w:rsidRDefault="00013E8A" w:rsidP="0087389C">
            <w:pPr>
              <w:rPr>
                <w:rFonts w:hint="eastAsia"/>
              </w:rPr>
            </w:pPr>
            <w:r>
              <w:rPr>
                <w:rFonts w:ascii="Calibri" w:eastAsia="Times New Roman" w:hAnsi="Calibri" w:cs="Arial"/>
                <w:sz w:val="22"/>
                <w:szCs w:val="22"/>
                <w:lang w:eastAsia="en-US" w:bidi="ar-SA"/>
              </w:rPr>
              <w:t xml:space="preserve">Testy budou prováděny na prototypu Dodavatelem s využitím zvolených názorných testovacích dat a jejich účelem bude předvést skupině klíčových uživatelů (max. </w:t>
            </w:r>
            <w:r w:rsidR="0087389C">
              <w:rPr>
                <w:rFonts w:ascii="Calibri" w:eastAsia="Times New Roman" w:hAnsi="Calibri" w:cs="Arial"/>
                <w:sz w:val="22"/>
                <w:szCs w:val="22"/>
                <w:lang w:eastAsia="en-US" w:bidi="ar-SA"/>
              </w:rPr>
              <w:t>12</w:t>
            </w:r>
            <w:r>
              <w:rPr>
                <w:rFonts w:ascii="Calibri" w:eastAsia="Times New Roman" w:hAnsi="Calibri" w:cs="Arial"/>
                <w:sz w:val="22"/>
                <w:szCs w:val="22"/>
                <w:lang w:eastAsia="en-US" w:bidi="ar-SA"/>
              </w:rPr>
              <w:t>) funkčnost základních částí systému. Předpokládaný rozsah 3 dny demonstračního testování. Výsledkem testů bude protokol o provedení testů obsahující v příloze specifikaci testovaných části systému pokrývající základní funkcionalitu všech částí systému a výsledky, zda tyto části byly v prototypu funkční či nikoliv.</w:t>
            </w:r>
          </w:p>
        </w:tc>
      </w:tr>
      <w:tr w:rsidR="00C710D0" w14:paraId="6D3A1969"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18ACE613"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C0338A6" w14:textId="77777777" w:rsidR="00C710D0" w:rsidRDefault="00013E8A">
            <w:pPr>
              <w:rPr>
                <w:rFonts w:hint="eastAsia"/>
              </w:rPr>
            </w:pPr>
            <w:r>
              <w:rPr>
                <w:rFonts w:ascii="Calibri" w:eastAsia="Times New Roman" w:hAnsi="Calibri" w:cs="Arial"/>
                <w:sz w:val="22"/>
                <w:szCs w:val="22"/>
                <w:lang w:eastAsia="en-US" w:bidi="ar-SA"/>
              </w:rPr>
              <w:t>1.5. Proškolení klíčových uživatelů na práci s prototypem standardu systému</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62A118A9" w14:textId="77777777" w:rsidR="00C710D0" w:rsidRDefault="00013E8A">
            <w:pPr>
              <w:rPr>
                <w:rFonts w:hint="eastAsia"/>
              </w:rPr>
            </w:pPr>
            <w:r>
              <w:rPr>
                <w:rFonts w:ascii="Calibri" w:eastAsia="Times New Roman" w:hAnsi="Calibri" w:cs="Arial"/>
                <w:b/>
                <w:bCs/>
                <w:sz w:val="22"/>
                <w:szCs w:val="22"/>
                <w:lang w:eastAsia="en-US" w:bidi="ar-SA"/>
              </w:rPr>
              <w:t xml:space="preserve">Prezenční listina školení </w:t>
            </w:r>
            <w:r>
              <w:rPr>
                <w:rFonts w:ascii="Calibri" w:eastAsia="Times New Roman" w:hAnsi="Calibri" w:cs="Arial"/>
                <w:sz w:val="22"/>
                <w:szCs w:val="22"/>
                <w:lang w:eastAsia="en-US" w:bidi="ar-SA"/>
              </w:rPr>
              <w:t xml:space="preserve">(schválená Objednatelem). </w:t>
            </w:r>
          </w:p>
          <w:p w14:paraId="593BFBDC" w14:textId="35B170B0" w:rsidR="00C710D0" w:rsidRDefault="00013E8A" w:rsidP="0087389C">
            <w:pPr>
              <w:rPr>
                <w:rFonts w:hint="eastAsia"/>
              </w:rPr>
            </w:pPr>
            <w:r>
              <w:rPr>
                <w:rFonts w:ascii="Calibri" w:eastAsia="Times New Roman" w:hAnsi="Calibri" w:cs="Arial"/>
                <w:sz w:val="22"/>
                <w:szCs w:val="22"/>
                <w:lang w:eastAsia="en-US" w:bidi="ar-SA"/>
              </w:rPr>
              <w:t xml:space="preserve">Klíčoví uživatelé (max. </w:t>
            </w:r>
            <w:r w:rsidR="0087389C">
              <w:rPr>
                <w:rFonts w:ascii="Calibri" w:eastAsia="Times New Roman" w:hAnsi="Calibri" w:cs="Arial"/>
                <w:sz w:val="22"/>
                <w:szCs w:val="22"/>
                <w:lang w:eastAsia="en-US" w:bidi="ar-SA"/>
              </w:rPr>
              <w:t>12</w:t>
            </w:r>
            <w:r>
              <w:rPr>
                <w:rFonts w:ascii="Calibri" w:eastAsia="Times New Roman" w:hAnsi="Calibri" w:cs="Arial"/>
                <w:sz w:val="22"/>
                <w:szCs w:val="22"/>
                <w:lang w:eastAsia="en-US" w:bidi="ar-SA"/>
              </w:rPr>
              <w:t>) budou proškoleni na standardní funkcionalitu systému nad prototypem. Proškolení bude zahrnovat veškeré části systému a bude vedeno detailně v rozsahu umožňujícím klíčovým uživatelům systém samostatně ve všech částech jeho funkcionality prověřit a testovat. Předpokládaný rozsah 5 dnů školení klíčových uživatelů.</w:t>
            </w:r>
          </w:p>
        </w:tc>
      </w:tr>
      <w:tr w:rsidR="00C710D0" w14:paraId="57D89530"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68EDBFF6"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3EA3316" w14:textId="77777777" w:rsidR="00C710D0" w:rsidRDefault="00013E8A">
            <w:pPr>
              <w:rPr>
                <w:rFonts w:ascii="Calibri" w:eastAsia="Times New Roman" w:hAnsi="Calibri" w:cs="Arial"/>
                <w:color w:val="C0504D"/>
                <w:sz w:val="22"/>
                <w:szCs w:val="22"/>
                <w:lang w:eastAsia="en-US" w:bidi="ar-SA"/>
              </w:rPr>
            </w:pPr>
            <w:r>
              <w:rPr>
                <w:rFonts w:ascii="Calibri" w:eastAsia="Times New Roman" w:hAnsi="Calibri" w:cs="Arial"/>
                <w:color w:val="C0504D"/>
                <w:sz w:val="22"/>
                <w:szCs w:val="22"/>
                <w:lang w:eastAsia="en-US" w:bidi="ar-SA"/>
              </w:rPr>
              <w:t>1.6. Akceptace etapy prototypu</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4AB689FD" w14:textId="77777777" w:rsidR="00C710D0" w:rsidRDefault="00013E8A">
            <w:pPr>
              <w:rPr>
                <w:rFonts w:hint="eastAsia"/>
              </w:rPr>
            </w:pPr>
            <w:r>
              <w:rPr>
                <w:rFonts w:ascii="Calibri" w:eastAsia="Times New Roman" w:hAnsi="Calibri" w:cs="Arial"/>
                <w:b/>
                <w:bCs/>
                <w:sz w:val="22"/>
                <w:szCs w:val="22"/>
                <w:lang w:eastAsia="en-US" w:bidi="ar-SA"/>
              </w:rPr>
              <w:t>Akceptační protokol</w:t>
            </w:r>
            <w:r>
              <w:rPr>
                <w:rFonts w:ascii="Calibri" w:eastAsia="Times New Roman" w:hAnsi="Calibri" w:cs="Arial"/>
                <w:sz w:val="22"/>
                <w:szCs w:val="22"/>
                <w:lang w:eastAsia="en-US" w:bidi="ar-SA"/>
              </w:rPr>
              <w:t>. Akceptace etapy je prováděna Objednatelem postupem dle smlouvy na základě dílčích schválení postupových výsledků činností etapy.</w:t>
            </w:r>
          </w:p>
        </w:tc>
      </w:tr>
      <w:tr w:rsidR="00C710D0" w14:paraId="5A14B0F7" w14:textId="77777777">
        <w:trPr>
          <w:cantSplit/>
        </w:trPr>
        <w:tc>
          <w:tcPr>
            <w:tcW w:w="1359" w:type="dxa"/>
            <w:vMerge w:val="restart"/>
            <w:tcBorders>
              <w:top w:val="single" w:sz="4" w:space="0" w:color="00000A"/>
              <w:left w:val="single" w:sz="4" w:space="0" w:color="00000A"/>
              <w:bottom w:val="single" w:sz="4" w:space="0" w:color="00000A"/>
              <w:right w:val="single" w:sz="4" w:space="0" w:color="00000A"/>
            </w:tcBorders>
            <w:shd w:val="clear" w:color="auto" w:fill="FFFF99"/>
            <w:vAlign w:val="center"/>
          </w:tcPr>
          <w:p w14:paraId="2AE029F5" w14:textId="77777777" w:rsidR="00C710D0" w:rsidRDefault="00013E8A">
            <w:pPr>
              <w:jc w:val="center"/>
              <w:rPr>
                <w:rFonts w:ascii="Calibri" w:eastAsia="Times New Roman" w:hAnsi="Calibri" w:cs="Arial"/>
                <w:sz w:val="22"/>
                <w:szCs w:val="22"/>
                <w:lang w:eastAsia="en-US" w:bidi="ar-SA"/>
              </w:rPr>
            </w:pPr>
            <w:r>
              <w:rPr>
                <w:rFonts w:ascii="Calibri" w:eastAsia="Times New Roman" w:hAnsi="Calibri" w:cs="Arial"/>
                <w:sz w:val="22"/>
                <w:szCs w:val="22"/>
                <w:lang w:eastAsia="en-US" w:bidi="ar-SA"/>
              </w:rPr>
              <w:lastRenderedPageBreak/>
              <w:t>2. Návrh</w:t>
            </w: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4B65579"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 xml:space="preserve">2.1. Analýza </w:t>
            </w:r>
            <w:proofErr w:type="spellStart"/>
            <w:r>
              <w:rPr>
                <w:rFonts w:ascii="Calibri" w:eastAsia="Times New Roman" w:hAnsi="Calibri" w:cs="Arial"/>
                <w:sz w:val="22"/>
                <w:szCs w:val="22"/>
                <w:lang w:eastAsia="en-US" w:bidi="ar-SA"/>
              </w:rPr>
              <w:t>impl</w:t>
            </w:r>
            <w:proofErr w:type="spellEnd"/>
            <w:r>
              <w:rPr>
                <w:rFonts w:ascii="Calibri" w:eastAsia="Times New Roman" w:hAnsi="Calibri" w:cs="Arial"/>
                <w:sz w:val="22"/>
                <w:szCs w:val="22"/>
                <w:lang w:eastAsia="en-US" w:bidi="ar-SA"/>
              </w:rPr>
              <w:t>. požadavků na úpravy a doplnění prototypu za všechny oblasti</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11F9E903" w14:textId="77777777" w:rsidR="00C710D0" w:rsidRDefault="00013E8A">
            <w:pPr>
              <w:rPr>
                <w:rFonts w:hint="eastAsia"/>
              </w:rPr>
            </w:pPr>
            <w:r>
              <w:rPr>
                <w:rFonts w:ascii="Calibri" w:eastAsia="Times New Roman" w:hAnsi="Calibri" w:cs="Arial"/>
                <w:b/>
                <w:bCs/>
                <w:sz w:val="22"/>
                <w:szCs w:val="22"/>
                <w:lang w:eastAsia="en-US" w:bidi="ar-SA"/>
              </w:rPr>
              <w:t xml:space="preserve">Zápisy z analytických schůzek </w:t>
            </w:r>
            <w:r>
              <w:rPr>
                <w:rFonts w:ascii="Calibri" w:eastAsia="Times New Roman" w:hAnsi="Calibri" w:cs="Arial"/>
                <w:sz w:val="22"/>
                <w:szCs w:val="22"/>
                <w:lang w:eastAsia="en-US" w:bidi="ar-SA"/>
              </w:rPr>
              <w:t>(schválené Objednatelem).</w:t>
            </w:r>
          </w:p>
          <w:p w14:paraId="3B6CDADA" w14:textId="77777777" w:rsidR="00C710D0" w:rsidRDefault="00013E8A">
            <w:pPr>
              <w:rPr>
                <w:rFonts w:hint="eastAsia"/>
              </w:rPr>
            </w:pPr>
            <w:r>
              <w:rPr>
                <w:rFonts w:ascii="Calibri" w:eastAsia="Times New Roman" w:hAnsi="Calibri" w:cs="Arial"/>
                <w:sz w:val="22"/>
                <w:szCs w:val="22"/>
                <w:lang w:eastAsia="en-US" w:bidi="ar-SA"/>
              </w:rPr>
              <w:t>Analýza implementačních požadavků sloužící k nastavení standardní funkcionality systému a návrhu způsobu realizace doplněné (</w:t>
            </w:r>
            <w:proofErr w:type="spellStart"/>
            <w:r>
              <w:rPr>
                <w:rFonts w:ascii="Calibri" w:eastAsia="Times New Roman" w:hAnsi="Calibri" w:cs="Arial"/>
                <w:sz w:val="22"/>
                <w:szCs w:val="22"/>
                <w:lang w:eastAsia="en-US" w:bidi="ar-SA"/>
              </w:rPr>
              <w:t>doprogramované</w:t>
            </w:r>
            <w:proofErr w:type="spellEnd"/>
            <w:r>
              <w:rPr>
                <w:rFonts w:ascii="Calibri" w:eastAsia="Times New Roman" w:hAnsi="Calibri" w:cs="Arial"/>
                <w:sz w:val="22"/>
                <w:szCs w:val="22"/>
                <w:lang w:eastAsia="en-US" w:bidi="ar-SA"/>
              </w:rPr>
              <w:t>) funkcionality bude prováděna Dodavatelem za účasti klíčových uživatelů objednatele. Bude vycházet z předchozího ověření standardní funkcionality systému v rámci prototypu. Požadavky budou analyzovány na společných schůzkách Dodavatele s uživateli a budou formulovány v zápisech ze schůzek. Zápisy a dohody na nich ke způsobu nastavení standardní funkcionality a analýze doplněné funkcionality systému musí být schvalovány (podepsány) Objednatelem.</w:t>
            </w:r>
          </w:p>
        </w:tc>
      </w:tr>
      <w:tr w:rsidR="00C710D0" w14:paraId="1EAC6B9E"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FFFF99"/>
            <w:vAlign w:val="center"/>
          </w:tcPr>
          <w:p w14:paraId="66D5D06A"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3A966CC" w14:textId="77777777" w:rsidR="00C710D0" w:rsidRDefault="00013E8A">
            <w:pPr>
              <w:rPr>
                <w:rFonts w:hint="eastAsia"/>
              </w:rPr>
            </w:pPr>
            <w:r>
              <w:rPr>
                <w:rFonts w:ascii="Calibri" w:eastAsia="Times New Roman" w:hAnsi="Calibri" w:cs="Arial"/>
                <w:sz w:val="22"/>
                <w:szCs w:val="22"/>
                <w:lang w:eastAsia="en-US" w:bidi="ar-SA"/>
              </w:rPr>
              <w:t>2.2. Detailní návrh (návrh řešení implementačních požadavků)</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04D9765B" w14:textId="77777777" w:rsidR="00C710D0" w:rsidRDefault="00013E8A">
            <w:pPr>
              <w:rPr>
                <w:rFonts w:hint="eastAsia"/>
              </w:rPr>
            </w:pPr>
            <w:r>
              <w:rPr>
                <w:rFonts w:ascii="Calibri" w:eastAsia="Times New Roman" w:hAnsi="Calibri" w:cs="Arial"/>
                <w:b/>
                <w:bCs/>
                <w:sz w:val="22"/>
                <w:szCs w:val="22"/>
                <w:lang w:eastAsia="en-US" w:bidi="ar-SA"/>
              </w:rPr>
              <w:t>Dokument Detailní návrh systému</w:t>
            </w:r>
            <w:r>
              <w:rPr>
                <w:rFonts w:ascii="Calibri" w:eastAsia="Times New Roman" w:hAnsi="Calibri" w:cs="Arial"/>
                <w:sz w:val="22"/>
                <w:szCs w:val="22"/>
                <w:lang w:eastAsia="en-US" w:bidi="ar-SA"/>
              </w:rPr>
              <w:t xml:space="preserve"> (schválený Objednatelem).</w:t>
            </w:r>
          </w:p>
          <w:p w14:paraId="259E3729" w14:textId="7E4B9CF0" w:rsidR="00C710D0" w:rsidRDefault="00013E8A">
            <w:pPr>
              <w:rPr>
                <w:rFonts w:hint="eastAsia"/>
              </w:rPr>
            </w:pPr>
            <w:r>
              <w:rPr>
                <w:rFonts w:ascii="Calibri" w:eastAsia="Times New Roman" w:hAnsi="Calibri" w:cs="Arial"/>
                <w:sz w:val="22"/>
                <w:szCs w:val="22"/>
                <w:lang w:eastAsia="en-US" w:bidi="ar-SA"/>
              </w:rPr>
              <w:t>Návrh obsahuje zapracován</w:t>
            </w:r>
            <w:r w:rsidR="0087389C">
              <w:rPr>
                <w:rFonts w:ascii="Calibri" w:eastAsia="Times New Roman" w:hAnsi="Calibri" w:cs="Arial"/>
                <w:sz w:val="22"/>
                <w:szCs w:val="22"/>
                <w:lang w:eastAsia="en-US" w:bidi="ar-SA"/>
              </w:rPr>
              <w:t>é</w:t>
            </w:r>
            <w:bookmarkStart w:id="0" w:name="_GoBack"/>
            <w:bookmarkEnd w:id="0"/>
            <w:r>
              <w:rPr>
                <w:rFonts w:ascii="Calibri" w:eastAsia="Times New Roman" w:hAnsi="Calibri" w:cs="Arial"/>
                <w:sz w:val="22"/>
                <w:szCs w:val="22"/>
                <w:lang w:eastAsia="en-US" w:bidi="ar-SA"/>
              </w:rPr>
              <w:t xml:space="preserve"> všechny požadavky ze smlouvy na funkcionalitu systému včetně všech implementačních požadavků vznesených při analýze  a uvedených v zápisech z předchozí činnosti (činnost 2.1.). </w:t>
            </w:r>
          </w:p>
          <w:p w14:paraId="41B6D8EA" w14:textId="77777777" w:rsidR="00C710D0" w:rsidRDefault="00013E8A">
            <w:pPr>
              <w:rPr>
                <w:rFonts w:hint="eastAsia"/>
              </w:rPr>
            </w:pPr>
            <w:r>
              <w:rPr>
                <w:rFonts w:ascii="Calibri" w:eastAsia="Times New Roman" w:hAnsi="Calibri" w:cs="Arial"/>
                <w:sz w:val="22"/>
                <w:szCs w:val="22"/>
                <w:lang w:eastAsia="en-US" w:bidi="ar-SA"/>
              </w:rPr>
              <w:t xml:space="preserve">Návrh rozpracovává migrační postup z Technické studie (činnost 1.2.) a obsahuje Dodavatelem navržený </w:t>
            </w:r>
            <w:r>
              <w:rPr>
                <w:rFonts w:ascii="Calibri" w:eastAsia="Times New Roman" w:hAnsi="Calibri" w:cs="Arial"/>
                <w:b/>
                <w:bCs/>
                <w:sz w:val="22"/>
                <w:szCs w:val="22"/>
                <w:lang w:eastAsia="en-US" w:bidi="ar-SA"/>
              </w:rPr>
              <w:t>detailní způsob provedení migrace dat pomocí převodového formátu</w:t>
            </w:r>
            <w:r>
              <w:rPr>
                <w:rFonts w:ascii="Calibri" w:eastAsia="Times New Roman" w:hAnsi="Calibri" w:cs="Arial"/>
                <w:sz w:val="22"/>
                <w:szCs w:val="22"/>
                <w:lang w:eastAsia="en-US" w:bidi="ar-SA"/>
              </w:rPr>
              <w:t>, který je dostupný ze stávajícího systému a popis jednotlivých kroků a jejich návaznosti při migraci dat. Návrh migrace musí obsahovat činnosti Dodavatele prováděné za účelem vlastního převodu vstupních souborů dat předaných Objednateli (získaných prostým exportem ze stávajícího informačního systému beze změny struktury dat a jejich formátů) do importních souborů dat určených pro vstup do implementovaného systému. Za převod dat nese odpovědnost Dodavatel, za obsah dat Objednatel.</w:t>
            </w:r>
          </w:p>
        </w:tc>
      </w:tr>
      <w:tr w:rsidR="00C710D0" w14:paraId="3AC567F4"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FFFF99"/>
            <w:vAlign w:val="center"/>
          </w:tcPr>
          <w:p w14:paraId="57A9415F"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33DC377" w14:textId="77777777" w:rsidR="00C710D0" w:rsidRDefault="00013E8A">
            <w:pPr>
              <w:rPr>
                <w:rFonts w:ascii="Calibri" w:eastAsia="Times New Roman" w:hAnsi="Calibri" w:cs="Arial"/>
                <w:color w:val="C0504D"/>
                <w:sz w:val="22"/>
                <w:szCs w:val="22"/>
                <w:lang w:eastAsia="en-US" w:bidi="ar-SA"/>
              </w:rPr>
            </w:pPr>
            <w:r>
              <w:rPr>
                <w:rFonts w:ascii="Calibri" w:eastAsia="Times New Roman" w:hAnsi="Calibri" w:cs="Arial"/>
                <w:color w:val="C0504D"/>
                <w:sz w:val="22"/>
                <w:szCs w:val="22"/>
                <w:lang w:eastAsia="en-US" w:bidi="ar-SA"/>
              </w:rPr>
              <w:t>2.3. Akceptace etapy návrhu</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43805990" w14:textId="77777777" w:rsidR="00C710D0" w:rsidRDefault="00013E8A">
            <w:pPr>
              <w:rPr>
                <w:rFonts w:ascii="Calibri" w:eastAsia="Times New Roman" w:hAnsi="Calibri" w:cs="Arial"/>
                <w:b/>
                <w:bCs/>
                <w:sz w:val="22"/>
                <w:szCs w:val="22"/>
                <w:lang w:eastAsia="en-US" w:bidi="ar-SA"/>
              </w:rPr>
            </w:pPr>
            <w:r>
              <w:rPr>
                <w:rFonts w:ascii="Calibri" w:eastAsia="Times New Roman" w:hAnsi="Calibri" w:cs="Arial"/>
                <w:b/>
                <w:bCs/>
                <w:sz w:val="22"/>
                <w:szCs w:val="22"/>
                <w:lang w:eastAsia="en-US" w:bidi="ar-SA"/>
              </w:rPr>
              <w:t>Akceptační protokol.</w:t>
            </w:r>
          </w:p>
          <w:p w14:paraId="2DF8BF08" w14:textId="77777777" w:rsidR="00C710D0" w:rsidRDefault="00013E8A">
            <w:pPr>
              <w:rPr>
                <w:rFonts w:hint="eastAsia"/>
              </w:rPr>
            </w:pPr>
            <w:r>
              <w:rPr>
                <w:rFonts w:ascii="Calibri" w:eastAsia="Times New Roman" w:hAnsi="Calibri" w:cs="Arial"/>
                <w:sz w:val="22"/>
                <w:szCs w:val="22"/>
                <w:lang w:eastAsia="en-US" w:bidi="ar-SA"/>
              </w:rPr>
              <w:t>Akceptace etapy je prováděna Objednatelem na základě dílčích schválení postupových výsledků činností etapy.</w:t>
            </w:r>
          </w:p>
        </w:tc>
      </w:tr>
      <w:tr w:rsidR="00C710D0" w14:paraId="15B5F1B5" w14:textId="77777777">
        <w:trPr>
          <w:cantSplit/>
        </w:trPr>
        <w:tc>
          <w:tcPr>
            <w:tcW w:w="1359" w:type="dxa"/>
            <w:vMerge w:val="restart"/>
            <w:tcBorders>
              <w:top w:val="single" w:sz="4" w:space="0" w:color="00000A"/>
              <w:left w:val="single" w:sz="4" w:space="0" w:color="00000A"/>
              <w:bottom w:val="single" w:sz="4" w:space="0" w:color="00000A"/>
              <w:right w:val="single" w:sz="4" w:space="0" w:color="00000A"/>
            </w:tcBorders>
            <w:shd w:val="clear" w:color="auto" w:fill="DDDDDD"/>
            <w:vAlign w:val="center"/>
          </w:tcPr>
          <w:p w14:paraId="4231D182" w14:textId="77777777" w:rsidR="00C710D0" w:rsidRDefault="00013E8A">
            <w:pPr>
              <w:jc w:val="cente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 xml:space="preserve">3. </w:t>
            </w:r>
            <w:proofErr w:type="spellStart"/>
            <w:r>
              <w:rPr>
                <w:rFonts w:ascii="Calibri" w:eastAsia="Times New Roman" w:hAnsi="Calibri" w:cs="Arial"/>
                <w:sz w:val="22"/>
                <w:szCs w:val="22"/>
                <w:lang w:eastAsia="en-US" w:bidi="ar-SA"/>
              </w:rPr>
              <w:t>Imple-mentace</w:t>
            </w:r>
            <w:proofErr w:type="spellEnd"/>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3F4837" w14:textId="77777777" w:rsidR="00C710D0" w:rsidRDefault="00013E8A">
            <w:pPr>
              <w:rPr>
                <w:rFonts w:hint="eastAsia"/>
              </w:rPr>
            </w:pPr>
            <w:r>
              <w:rPr>
                <w:rFonts w:ascii="Calibri" w:eastAsia="Times New Roman" w:hAnsi="Calibri" w:cs="Arial"/>
                <w:sz w:val="22"/>
                <w:szCs w:val="22"/>
                <w:lang w:eastAsia="en-US" w:bidi="ar-SA"/>
              </w:rPr>
              <w:t>3.1. Realizace Detailního návrhu Dodavatelem</w:t>
            </w:r>
          </w:p>
        </w:tc>
        <w:tc>
          <w:tcPr>
            <w:tcW w:w="11348" w:type="dxa"/>
            <w:tcBorders>
              <w:top w:val="single" w:sz="4" w:space="0" w:color="00000A"/>
              <w:left w:val="single" w:sz="4" w:space="0" w:color="00000A"/>
              <w:bottom w:val="single" w:sz="4" w:space="0" w:color="00000A"/>
              <w:right w:val="single" w:sz="4" w:space="0" w:color="00000A"/>
            </w:tcBorders>
            <w:shd w:val="clear" w:color="auto" w:fill="auto"/>
            <w:vAlign w:val="bottom"/>
          </w:tcPr>
          <w:p w14:paraId="72C20D3D" w14:textId="77777777" w:rsidR="00C710D0" w:rsidRDefault="00013E8A">
            <w:pPr>
              <w:rPr>
                <w:rFonts w:hint="eastAsia"/>
              </w:rPr>
            </w:pPr>
            <w:r>
              <w:rPr>
                <w:rFonts w:ascii="Calibri" w:eastAsia="Times New Roman" w:hAnsi="Calibri" w:cs="Arial"/>
                <w:sz w:val="22"/>
                <w:szCs w:val="22"/>
                <w:lang w:eastAsia="en-US" w:bidi="ar-SA"/>
              </w:rPr>
              <w:t xml:space="preserve">Interní činnost na straně Dodavatele bez výstupu podléhajícímu schválení. </w:t>
            </w:r>
          </w:p>
          <w:p w14:paraId="1982E442" w14:textId="77777777" w:rsidR="00C710D0" w:rsidRDefault="00013E8A">
            <w:pPr>
              <w:rPr>
                <w:rFonts w:hint="eastAsia"/>
              </w:rPr>
            </w:pPr>
            <w:r>
              <w:rPr>
                <w:rFonts w:ascii="Calibri" w:eastAsia="Times New Roman" w:hAnsi="Calibri" w:cs="Arial"/>
                <w:sz w:val="22"/>
                <w:szCs w:val="22"/>
                <w:lang w:eastAsia="en-US" w:bidi="ar-SA"/>
              </w:rPr>
              <w:t xml:space="preserve">Během realizace Dodavatel nastaví systém a doplní/doprogramuje do něj doplněnou funkcionalitu způsobem stanoveným v Detailním návrhu (činnost 2.2.).  </w:t>
            </w:r>
          </w:p>
          <w:p w14:paraId="4D7B7EA2" w14:textId="77777777" w:rsidR="00C710D0" w:rsidRDefault="00013E8A">
            <w:pPr>
              <w:rPr>
                <w:rFonts w:hint="eastAsia"/>
              </w:rPr>
            </w:pPr>
            <w:r>
              <w:rPr>
                <w:rFonts w:ascii="Calibri" w:eastAsia="Times New Roman" w:hAnsi="Calibri" w:cs="Arial"/>
                <w:sz w:val="22"/>
                <w:szCs w:val="22"/>
                <w:lang w:eastAsia="en-US" w:bidi="ar-SA"/>
              </w:rPr>
              <w:t>Součástí činnosti je dohoda mezi Dodavatelem a Objednatelem o detailech nastavení parametrů technického prostředí včetně konfigurace databáze, která podmiňuje provedení navazující součinnosti Objednatele (činnost 3.2.).</w:t>
            </w:r>
          </w:p>
        </w:tc>
      </w:tr>
      <w:tr w:rsidR="00C710D0" w14:paraId="1EA2951A"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000672F7"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27528C7" w14:textId="77777777" w:rsidR="00C710D0" w:rsidRDefault="00013E8A">
            <w:pPr>
              <w:rPr>
                <w:rFonts w:hint="eastAsia"/>
              </w:rPr>
            </w:pPr>
            <w:r>
              <w:rPr>
                <w:rFonts w:ascii="Calibri" w:eastAsia="Times New Roman" w:hAnsi="Calibri" w:cs="Arial"/>
                <w:sz w:val="22"/>
                <w:szCs w:val="22"/>
                <w:lang w:eastAsia="en-US" w:bidi="ar-SA"/>
              </w:rPr>
              <w:t>3.2. Vytvoření testovací a ostré produktivní hardwarové infrastruktury Objednatelem</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33AA12DE" w14:textId="77777777" w:rsidR="00C710D0" w:rsidRDefault="00013E8A">
            <w:pPr>
              <w:rPr>
                <w:rFonts w:hint="eastAsia"/>
              </w:rPr>
            </w:pPr>
            <w:r>
              <w:rPr>
                <w:rFonts w:ascii="Calibri" w:eastAsia="Times New Roman" w:hAnsi="Calibri" w:cs="Arial"/>
                <w:sz w:val="22"/>
                <w:szCs w:val="22"/>
                <w:lang w:eastAsia="en-US" w:bidi="ar-SA"/>
              </w:rPr>
              <w:t>Interní činnost na straně Objednatele bez výstupu podléhajícímu schválení (součinnost Objednatele).</w:t>
            </w:r>
          </w:p>
        </w:tc>
      </w:tr>
      <w:tr w:rsidR="00C710D0" w14:paraId="3E3C23A2"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5E3ECE86"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85E0D8" w14:textId="77777777" w:rsidR="00C710D0" w:rsidRDefault="00013E8A">
            <w:pPr>
              <w:rPr>
                <w:rFonts w:hint="eastAsia"/>
              </w:rPr>
            </w:pPr>
            <w:r>
              <w:rPr>
                <w:rFonts w:ascii="Calibri" w:eastAsia="Times New Roman" w:hAnsi="Calibri" w:cs="Arial"/>
                <w:sz w:val="22"/>
                <w:szCs w:val="22"/>
                <w:lang w:eastAsia="en-US" w:bidi="ar-SA"/>
              </w:rPr>
              <w:t xml:space="preserve">3.3. Předvedení funkčnosti základními testy systému provedenými </w:t>
            </w:r>
            <w:r>
              <w:rPr>
                <w:rFonts w:ascii="Calibri" w:eastAsia="Times New Roman" w:hAnsi="Calibri" w:cs="Times New Roman"/>
                <w:sz w:val="22"/>
                <w:szCs w:val="22"/>
                <w:lang w:eastAsia="en-US" w:bidi="ar-SA"/>
              </w:rPr>
              <w:t>Dodavatelem</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6D0F831A" w14:textId="77777777" w:rsidR="00C710D0" w:rsidRDefault="00013E8A">
            <w:pPr>
              <w:rPr>
                <w:rFonts w:hint="eastAsia"/>
              </w:rPr>
            </w:pPr>
            <w:r>
              <w:rPr>
                <w:rFonts w:ascii="Calibri" w:eastAsia="Times New Roman" w:hAnsi="Calibri" w:cs="Arial"/>
                <w:b/>
                <w:bCs/>
                <w:sz w:val="22"/>
                <w:szCs w:val="22"/>
                <w:lang w:eastAsia="en-US" w:bidi="ar-SA"/>
              </w:rPr>
              <w:t xml:space="preserve">Protokol o výsledcích testů </w:t>
            </w:r>
            <w:r>
              <w:rPr>
                <w:rFonts w:ascii="Calibri" w:eastAsia="Times New Roman" w:hAnsi="Calibri" w:cs="Arial"/>
                <w:sz w:val="22"/>
                <w:szCs w:val="22"/>
                <w:lang w:eastAsia="en-US" w:bidi="ar-SA"/>
              </w:rPr>
              <w:t>(schválený Objednatelem).</w:t>
            </w:r>
          </w:p>
          <w:p w14:paraId="072564F9" w14:textId="77777777" w:rsidR="00C710D0" w:rsidRDefault="00013E8A">
            <w:pPr>
              <w:rPr>
                <w:rFonts w:ascii="Calibri" w:hAnsi="Calibri"/>
                <w:sz w:val="22"/>
                <w:szCs w:val="22"/>
                <w:highlight w:val="yellow"/>
              </w:rPr>
            </w:pPr>
            <w:r>
              <w:rPr>
                <w:rFonts w:ascii="Calibri" w:eastAsia="Times New Roman" w:hAnsi="Calibri" w:cs="Arial"/>
                <w:sz w:val="22"/>
                <w:szCs w:val="22"/>
                <w:lang w:eastAsia="en-US" w:bidi="ar-SA"/>
              </w:rPr>
              <w:t>Instalace systému do testovacího prostředí.</w:t>
            </w:r>
          </w:p>
          <w:p w14:paraId="409F66EB" w14:textId="77777777" w:rsidR="00C710D0" w:rsidRDefault="00013E8A">
            <w:pPr>
              <w:rPr>
                <w:rFonts w:hint="eastAsia"/>
              </w:rPr>
            </w:pPr>
            <w:r>
              <w:rPr>
                <w:rFonts w:ascii="Calibri" w:eastAsia="Times New Roman" w:hAnsi="Calibri" w:cs="Arial"/>
                <w:sz w:val="22"/>
                <w:szCs w:val="22"/>
                <w:lang w:eastAsia="en-US" w:bidi="ar-SA"/>
              </w:rPr>
              <w:t>Základní (jednotkové) testy zahrnou plnou funkcionalitu systému implementovaného do testovacího prostředí Objednatele. Testy budou prováděny Dodavatelem v testovacím prostředí Objednatele s využitím vzorků testovacích dat předaných na základě pokynů Dodavatele klíčovými uživateli a jejich účelem bude předvést skupině klíčových uživatelů funkčnost upravených částí systému. Rozsah cca 2 dny. Výsledkem testů bude protokol o provedení testů obsahující v příloze specifikaci testovaných části systému pokrývajících zejména základní funkcionalitu nového systému (vč. doplněné/</w:t>
            </w:r>
            <w:proofErr w:type="spellStart"/>
            <w:r>
              <w:rPr>
                <w:rFonts w:ascii="Calibri" w:eastAsia="Times New Roman" w:hAnsi="Calibri" w:cs="Arial"/>
                <w:sz w:val="22"/>
                <w:szCs w:val="22"/>
                <w:lang w:eastAsia="en-US" w:bidi="ar-SA"/>
              </w:rPr>
              <w:t>doprogramované</w:t>
            </w:r>
            <w:proofErr w:type="spellEnd"/>
            <w:r>
              <w:rPr>
                <w:rFonts w:ascii="Calibri" w:eastAsia="Times New Roman" w:hAnsi="Calibri" w:cs="Arial"/>
                <w:sz w:val="22"/>
                <w:szCs w:val="22"/>
                <w:lang w:eastAsia="en-US" w:bidi="ar-SA"/>
              </w:rPr>
              <w:t xml:space="preserve"> povinné funkcionality).</w:t>
            </w:r>
          </w:p>
        </w:tc>
      </w:tr>
      <w:tr w:rsidR="00C710D0" w14:paraId="3E35ED7A"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242FC4A9"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79853D2"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3.4. Navržení katalogu servisních služeb</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09D4839F" w14:textId="77777777" w:rsidR="00C710D0" w:rsidRDefault="00013E8A">
            <w:pPr>
              <w:rPr>
                <w:rFonts w:hint="eastAsia"/>
              </w:rPr>
            </w:pPr>
            <w:r>
              <w:rPr>
                <w:rFonts w:ascii="Calibri" w:eastAsia="Times New Roman" w:hAnsi="Calibri" w:cs="Arial"/>
                <w:b/>
                <w:bCs/>
                <w:sz w:val="22"/>
                <w:szCs w:val="22"/>
                <w:lang w:eastAsia="en-US" w:bidi="ar-SA"/>
              </w:rPr>
              <w:t>Katalog služeb</w:t>
            </w:r>
            <w:r>
              <w:rPr>
                <w:rFonts w:ascii="Calibri" w:eastAsia="Times New Roman" w:hAnsi="Calibri" w:cs="Arial"/>
                <w:sz w:val="22"/>
                <w:szCs w:val="22"/>
                <w:lang w:eastAsia="en-US" w:bidi="ar-SA"/>
              </w:rPr>
              <w:t xml:space="preserve"> (schválený Objednatelem).</w:t>
            </w:r>
          </w:p>
          <w:p w14:paraId="38CA268E" w14:textId="77777777" w:rsidR="00C710D0" w:rsidRDefault="00013E8A">
            <w:pPr>
              <w:rPr>
                <w:rFonts w:hint="eastAsia"/>
              </w:rPr>
            </w:pPr>
            <w:r>
              <w:rPr>
                <w:rFonts w:ascii="Calibri" w:eastAsia="Times New Roman" w:hAnsi="Calibri" w:cs="Arial"/>
                <w:sz w:val="22"/>
                <w:szCs w:val="22"/>
                <w:lang w:eastAsia="en-US" w:bidi="ar-SA"/>
              </w:rPr>
              <w:t>Katalog služeb definuje jednotlivé katalogové listy všech služeb poskytovaných Dodavatelem dle navazující servisní smlouvy.</w:t>
            </w:r>
          </w:p>
        </w:tc>
      </w:tr>
      <w:tr w:rsidR="00C710D0" w14:paraId="1FD1DD5A"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35E43DA2"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1D414D"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3.5. Zpracování uživatelské a systémové příručky</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4D5EEB75" w14:textId="77777777" w:rsidR="00C710D0" w:rsidRDefault="00013E8A">
            <w:pPr>
              <w:rPr>
                <w:rFonts w:hint="eastAsia"/>
              </w:rPr>
            </w:pPr>
            <w:r>
              <w:rPr>
                <w:rFonts w:ascii="Calibri" w:eastAsia="Times New Roman" w:hAnsi="Calibri" w:cs="Arial"/>
                <w:b/>
                <w:bCs/>
                <w:sz w:val="22"/>
                <w:szCs w:val="22"/>
                <w:lang w:eastAsia="en-US" w:bidi="ar-SA"/>
              </w:rPr>
              <w:t>Uživatelská a systémová příručka</w:t>
            </w:r>
            <w:r>
              <w:rPr>
                <w:rFonts w:ascii="Calibri" w:eastAsia="Times New Roman" w:hAnsi="Calibri" w:cs="Arial"/>
                <w:sz w:val="22"/>
                <w:szCs w:val="22"/>
                <w:lang w:eastAsia="en-US" w:bidi="ar-SA"/>
              </w:rPr>
              <w:t xml:space="preserve"> (schváleno Objednatelem). </w:t>
            </w:r>
          </w:p>
          <w:p w14:paraId="4D7BC217" w14:textId="77777777" w:rsidR="00C710D0" w:rsidRDefault="00013E8A">
            <w:pPr>
              <w:rPr>
                <w:rFonts w:hint="eastAsia"/>
              </w:rPr>
            </w:pPr>
            <w:r>
              <w:rPr>
                <w:rFonts w:ascii="Calibri" w:eastAsia="Times New Roman" w:hAnsi="Calibri" w:cs="Arial"/>
                <w:sz w:val="22"/>
                <w:szCs w:val="22"/>
                <w:lang w:eastAsia="en-US" w:bidi="ar-SA"/>
              </w:rPr>
              <w:t xml:space="preserve">Příručky jsou vypracovány analogicky s požadavky vyhlášky </w:t>
            </w:r>
            <w:r>
              <w:rPr>
                <w:rFonts w:ascii="Calibri" w:hAnsi="Calibri" w:cs="Times New Roman"/>
                <w:sz w:val="22"/>
                <w:szCs w:val="22"/>
              </w:rPr>
              <w:t>č</w:t>
            </w:r>
            <w:r>
              <w:rPr>
                <w:rFonts w:ascii="Calibri" w:hAnsi="Calibri" w:cs="Times New Roman"/>
                <w:caps/>
                <w:sz w:val="22"/>
                <w:szCs w:val="22"/>
              </w:rPr>
              <w:t>. 529/2006 S</w:t>
            </w:r>
            <w:r>
              <w:rPr>
                <w:rFonts w:ascii="Calibri" w:hAnsi="Calibri" w:cs="Times New Roman"/>
                <w:sz w:val="22"/>
                <w:szCs w:val="22"/>
              </w:rPr>
              <w:t>b</w:t>
            </w:r>
            <w:r>
              <w:rPr>
                <w:rFonts w:ascii="Calibri" w:hAnsi="Calibri" w:cs="Times New Roman"/>
                <w:caps/>
                <w:sz w:val="22"/>
                <w:szCs w:val="22"/>
              </w:rPr>
              <w:t xml:space="preserve">. </w:t>
            </w:r>
            <w:r>
              <w:rPr>
                <w:rFonts w:ascii="Calibri" w:hAnsi="Calibri" w:cs="Times New Roman"/>
                <w:sz w:val="22"/>
                <w:szCs w:val="22"/>
              </w:rPr>
              <w:t xml:space="preserve">a </w:t>
            </w:r>
            <w:r>
              <w:rPr>
                <w:rFonts w:ascii="Calibri" w:eastAsia="Times New Roman" w:hAnsi="Calibri" w:cs="Arial"/>
                <w:sz w:val="22"/>
                <w:szCs w:val="22"/>
                <w:lang w:eastAsia="en-US" w:bidi="ar-SA"/>
              </w:rPr>
              <w:t>popisují systém z perspektivy uživatelů a z perspektivy administrátora systému.</w:t>
            </w:r>
          </w:p>
        </w:tc>
      </w:tr>
      <w:tr w:rsidR="00C710D0" w14:paraId="2B87EB63"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512575E0"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527E459"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3.6. Školení uživatelů</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066FF93C" w14:textId="77777777" w:rsidR="00C710D0" w:rsidRDefault="00013E8A">
            <w:pPr>
              <w:rPr>
                <w:rFonts w:hint="eastAsia"/>
              </w:rPr>
            </w:pPr>
            <w:r>
              <w:rPr>
                <w:rFonts w:ascii="Calibri" w:eastAsia="Times New Roman" w:hAnsi="Calibri" w:cs="Arial"/>
                <w:b/>
                <w:bCs/>
                <w:sz w:val="22"/>
                <w:szCs w:val="22"/>
                <w:lang w:eastAsia="en-US" w:bidi="ar-SA"/>
              </w:rPr>
              <w:t>Prezenční listina školení</w:t>
            </w:r>
            <w:r>
              <w:rPr>
                <w:rFonts w:ascii="Calibri" w:eastAsia="Times New Roman" w:hAnsi="Calibri" w:cs="Arial"/>
                <w:sz w:val="22"/>
                <w:szCs w:val="22"/>
                <w:lang w:eastAsia="en-US" w:bidi="ar-SA"/>
              </w:rPr>
              <w:t xml:space="preserve"> (schválená Objednatelem).</w:t>
            </w:r>
          </w:p>
          <w:p w14:paraId="10B9308A" w14:textId="2A4FF8C3" w:rsidR="00C710D0" w:rsidRDefault="00013E8A" w:rsidP="0087389C">
            <w:pPr>
              <w:rPr>
                <w:rFonts w:hint="eastAsia"/>
              </w:rPr>
            </w:pPr>
            <w:r>
              <w:rPr>
                <w:rFonts w:ascii="Calibri" w:eastAsia="Times New Roman" w:hAnsi="Calibri" w:cs="Arial"/>
                <w:sz w:val="22"/>
                <w:szCs w:val="22"/>
                <w:lang w:eastAsia="en-US" w:bidi="ar-SA"/>
              </w:rPr>
              <w:t xml:space="preserve">Uživatelé (max. </w:t>
            </w:r>
            <w:r w:rsidR="0087389C">
              <w:rPr>
                <w:rFonts w:ascii="Calibri" w:eastAsia="Times New Roman" w:hAnsi="Calibri" w:cs="Arial"/>
                <w:sz w:val="22"/>
                <w:szCs w:val="22"/>
                <w:lang w:eastAsia="en-US" w:bidi="ar-SA"/>
              </w:rPr>
              <w:t>42</w:t>
            </w:r>
            <w:r>
              <w:rPr>
                <w:rFonts w:ascii="Calibri" w:eastAsia="Times New Roman" w:hAnsi="Calibri" w:cs="Arial"/>
                <w:sz w:val="22"/>
                <w:szCs w:val="22"/>
                <w:lang w:eastAsia="en-US" w:bidi="ar-SA"/>
              </w:rPr>
              <w:t>) budou proškoleni na plnou funkcionalitu systému v testovacím prostředí Objednatele v souladu s uživatelskou a systémovou příručkou. Školení bude zahrnovat veškeré části systému a rovněž administraci systému a databáze.</w:t>
            </w:r>
          </w:p>
        </w:tc>
      </w:tr>
      <w:tr w:rsidR="00C710D0" w14:paraId="45797A3E"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185DF2DC"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73A96BF" w14:textId="77777777" w:rsidR="00C710D0" w:rsidRDefault="00013E8A">
            <w:pPr>
              <w:rPr>
                <w:rFonts w:hint="eastAsia"/>
              </w:rPr>
            </w:pPr>
            <w:r>
              <w:rPr>
                <w:rFonts w:ascii="Calibri" w:eastAsia="Times New Roman" w:hAnsi="Calibri" w:cs="Arial"/>
                <w:sz w:val="22"/>
                <w:szCs w:val="22"/>
                <w:lang w:eastAsia="en-US" w:bidi="ar-SA"/>
              </w:rPr>
              <w:t>3.7. Integrační testy systému provedené klíčovými uživateli</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4DB5F966" w14:textId="77777777" w:rsidR="00C710D0" w:rsidRDefault="00013E8A">
            <w:pPr>
              <w:rPr>
                <w:rFonts w:hint="eastAsia"/>
              </w:rPr>
            </w:pPr>
            <w:r>
              <w:rPr>
                <w:rFonts w:ascii="Calibri" w:eastAsia="Times New Roman" w:hAnsi="Calibri" w:cs="Arial"/>
                <w:b/>
                <w:bCs/>
                <w:sz w:val="22"/>
                <w:szCs w:val="22"/>
                <w:lang w:eastAsia="en-US" w:bidi="ar-SA"/>
              </w:rPr>
              <w:t>Protokol o výsledcích testů</w:t>
            </w:r>
            <w:r>
              <w:rPr>
                <w:rFonts w:ascii="Calibri" w:eastAsia="Times New Roman" w:hAnsi="Calibri" w:cs="Arial"/>
                <w:sz w:val="22"/>
                <w:szCs w:val="22"/>
                <w:lang w:eastAsia="en-US" w:bidi="ar-SA"/>
              </w:rPr>
              <w:t xml:space="preserve"> (schválený Objednatelem).</w:t>
            </w:r>
          </w:p>
          <w:p w14:paraId="592D99FE" w14:textId="77777777" w:rsidR="00C710D0" w:rsidRDefault="00013E8A">
            <w:pPr>
              <w:rPr>
                <w:rFonts w:hint="eastAsia"/>
              </w:rPr>
            </w:pPr>
            <w:r>
              <w:rPr>
                <w:rFonts w:ascii="Calibri" w:eastAsia="Times New Roman" w:hAnsi="Calibri" w:cs="Arial"/>
                <w:sz w:val="22"/>
                <w:szCs w:val="22"/>
                <w:lang w:eastAsia="en-US" w:bidi="ar-SA"/>
              </w:rPr>
              <w:t>Integrační testy provedou klíčoví uživatelé Objednatele v testovacím prostředí Objednatele za asistence Dodavatele na podkladě návrhu testovacích scénářů předložených při zahájení činnosti Dodavatelem. Testy zahrnují zejména integrační vazby mezi jednotlivými částmi systému a funkcionalitu doplněnou či upravovanou Dodavatelem na míru Objednateli. Výsledkem testů bude protokol o provedení testů obsahující v příloze specifikaci testovaných části systému pokrývající funkcionalitu systému (všech částí) a výsledky, zda tyto části byly funkční či nikoliv.</w:t>
            </w:r>
          </w:p>
        </w:tc>
      </w:tr>
      <w:tr w:rsidR="00C710D0" w14:paraId="000AA1EF"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6053759D"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CD3E0BF" w14:textId="77777777" w:rsidR="00C710D0" w:rsidRDefault="00013E8A">
            <w:pPr>
              <w:rPr>
                <w:rFonts w:hint="eastAsia"/>
              </w:rPr>
            </w:pPr>
            <w:r>
              <w:rPr>
                <w:rFonts w:ascii="Calibri" w:hAnsi="Calibri"/>
                <w:sz w:val="22"/>
                <w:szCs w:val="22"/>
              </w:rPr>
              <w:t>3.8. Migrace dat (mzdy a personalistika)</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676201FC" w14:textId="77777777" w:rsidR="00C710D0" w:rsidRDefault="00013E8A">
            <w:pPr>
              <w:rPr>
                <w:rFonts w:hint="eastAsia"/>
              </w:rPr>
            </w:pPr>
            <w:r>
              <w:rPr>
                <w:rFonts w:ascii="Calibri" w:eastAsia="Times New Roman" w:hAnsi="Calibri" w:cs="Arial"/>
                <w:b/>
                <w:bCs/>
                <w:sz w:val="22"/>
                <w:szCs w:val="22"/>
                <w:lang w:eastAsia="en-US" w:bidi="ar-SA"/>
              </w:rPr>
              <w:t>Protokol o provedené migraci dat</w:t>
            </w:r>
            <w:r>
              <w:rPr>
                <w:rFonts w:ascii="Calibri" w:eastAsia="Times New Roman" w:hAnsi="Calibri" w:cs="Arial"/>
                <w:sz w:val="22"/>
                <w:szCs w:val="22"/>
                <w:lang w:eastAsia="en-US" w:bidi="ar-SA"/>
              </w:rPr>
              <w:t xml:space="preserve"> (schválený Objednatelem).</w:t>
            </w:r>
          </w:p>
          <w:p w14:paraId="35F31177" w14:textId="77777777" w:rsidR="00C710D0" w:rsidRDefault="00013E8A">
            <w:pPr>
              <w:rPr>
                <w:rFonts w:hint="eastAsia"/>
              </w:rPr>
            </w:pPr>
            <w:r>
              <w:rPr>
                <w:rFonts w:ascii="Calibri" w:eastAsia="Times New Roman" w:hAnsi="Calibri" w:cs="Arial"/>
                <w:sz w:val="22"/>
                <w:szCs w:val="22"/>
                <w:lang w:eastAsia="en-US" w:bidi="ar-SA"/>
              </w:rPr>
              <w:t>Instalace mzdového a personálního subsystému do produktivního prostředí Objednatele.</w:t>
            </w:r>
          </w:p>
          <w:p w14:paraId="48F1D1CE" w14:textId="77777777" w:rsidR="00C710D0" w:rsidRDefault="00013E8A">
            <w:pPr>
              <w:rPr>
                <w:rFonts w:hint="eastAsia"/>
              </w:rPr>
            </w:pPr>
            <w:r>
              <w:rPr>
                <w:rFonts w:ascii="Calibri" w:eastAsia="Times New Roman" w:hAnsi="Calibri" w:cs="Arial"/>
                <w:sz w:val="22"/>
                <w:szCs w:val="22"/>
                <w:lang w:eastAsia="en-US" w:bidi="ar-SA"/>
              </w:rPr>
              <w:t>Dodavatel na základě akceptovaného Detailního návrhu, kde byl zpracován způsob provedení migrace Dodavatelem a rozsah součinnosti Objednatele při migraci, provede vlastní migraci mzdových a personálních dat za součinnosti Objednatele.</w:t>
            </w:r>
          </w:p>
        </w:tc>
      </w:tr>
      <w:tr w:rsidR="00C710D0" w14:paraId="6C6F43F2"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32F2F5FD"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DD3AC2D" w14:textId="77777777" w:rsidR="00C710D0" w:rsidRDefault="00013E8A">
            <w:pPr>
              <w:rPr>
                <w:rFonts w:hint="eastAsia"/>
              </w:rPr>
            </w:pPr>
            <w:r>
              <w:rPr>
                <w:rFonts w:ascii="Calibri" w:hAnsi="Calibri"/>
                <w:color w:val="000000"/>
                <w:sz w:val="22"/>
                <w:szCs w:val="22"/>
              </w:rPr>
              <w:t>3.9. Ověřovací provoz mezd a personalistiky</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2C81037B" w14:textId="77777777" w:rsidR="00C710D0" w:rsidRDefault="00013E8A">
            <w:pPr>
              <w:rPr>
                <w:rFonts w:hint="eastAsia"/>
              </w:rPr>
            </w:pPr>
            <w:r>
              <w:rPr>
                <w:rFonts w:ascii="Calibri" w:hAnsi="Calibri"/>
                <w:sz w:val="22"/>
                <w:szCs w:val="22"/>
              </w:rPr>
              <w:t>Ověřování výstupů ze zpracování mezd vůči stávajícímu informačnímu systému Objednatele za podpory Dodavatele, bezprostřední náprava v případě nalezení vad.</w:t>
            </w:r>
          </w:p>
        </w:tc>
      </w:tr>
      <w:tr w:rsidR="00C710D0" w14:paraId="485BB23B"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038E98F3"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08E4379" w14:textId="77777777" w:rsidR="00C710D0" w:rsidRDefault="00013E8A">
            <w:pPr>
              <w:rPr>
                <w:rFonts w:hint="eastAsia"/>
              </w:rPr>
            </w:pPr>
            <w:r>
              <w:rPr>
                <w:rFonts w:ascii="Calibri" w:eastAsia="Times New Roman" w:hAnsi="Calibri" w:cs="Arial"/>
                <w:sz w:val="22"/>
                <w:szCs w:val="22"/>
                <w:lang w:eastAsia="en-US" w:bidi="ar-SA"/>
              </w:rPr>
              <w:t>3.10. Migrace dat základní (EIS mimo mezd a personalistiky)</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3CBF3E57" w14:textId="77777777" w:rsidR="00C710D0" w:rsidRDefault="00013E8A">
            <w:pPr>
              <w:rPr>
                <w:rFonts w:hint="eastAsia"/>
              </w:rPr>
            </w:pPr>
            <w:r>
              <w:rPr>
                <w:rFonts w:ascii="Calibri" w:eastAsia="Times New Roman" w:hAnsi="Calibri" w:cs="Arial"/>
                <w:b/>
                <w:bCs/>
                <w:sz w:val="22"/>
                <w:szCs w:val="22"/>
                <w:lang w:eastAsia="en-US" w:bidi="ar-SA"/>
              </w:rPr>
              <w:t>Protokol o provedené migraci dat</w:t>
            </w:r>
            <w:r>
              <w:rPr>
                <w:rFonts w:ascii="Calibri" w:eastAsia="Times New Roman" w:hAnsi="Calibri" w:cs="Arial"/>
                <w:sz w:val="22"/>
                <w:szCs w:val="22"/>
                <w:lang w:eastAsia="en-US" w:bidi="ar-SA"/>
              </w:rPr>
              <w:t xml:space="preserve"> (schválený Objednatelem).</w:t>
            </w:r>
          </w:p>
          <w:p w14:paraId="0FC77117" w14:textId="77777777" w:rsidR="00C710D0" w:rsidRDefault="00013E8A">
            <w:pPr>
              <w:rPr>
                <w:rFonts w:hint="eastAsia"/>
              </w:rPr>
            </w:pPr>
            <w:r>
              <w:rPr>
                <w:rFonts w:ascii="Calibri" w:eastAsia="Times New Roman" w:hAnsi="Calibri" w:cs="Arial"/>
                <w:sz w:val="22"/>
                <w:szCs w:val="22"/>
                <w:lang w:eastAsia="en-US" w:bidi="ar-SA"/>
              </w:rPr>
              <w:t>Instalace ostatních subsystémů ekonomického informačního systému do produktivního prostředí Objednatele.</w:t>
            </w:r>
          </w:p>
          <w:p w14:paraId="714A3EE4" w14:textId="77777777" w:rsidR="00C710D0" w:rsidRDefault="00013E8A">
            <w:pPr>
              <w:rPr>
                <w:rFonts w:hint="eastAsia"/>
              </w:rPr>
            </w:pPr>
            <w:r>
              <w:rPr>
                <w:rFonts w:ascii="Calibri" w:eastAsia="Times New Roman" w:hAnsi="Calibri" w:cs="Arial"/>
                <w:sz w:val="22"/>
                <w:szCs w:val="22"/>
                <w:lang w:eastAsia="en-US" w:bidi="ar-SA"/>
              </w:rPr>
              <w:t>Dodavatel na základě akceptovaného Detailního návrhu, kde byl zpracován způsob provedení migrace Dodavatelem a rozsah součinnosti Objednatele při migraci, provede vlastní migraci dat za součinnosti Objednatele.</w:t>
            </w:r>
          </w:p>
        </w:tc>
      </w:tr>
      <w:tr w:rsidR="00C710D0" w14:paraId="1A734B3D" w14:textId="77777777">
        <w:trPr>
          <w:cantSplit/>
        </w:trPr>
        <w:tc>
          <w:tcPr>
            <w:tcW w:w="1359" w:type="dxa"/>
            <w:vMerge/>
            <w:tcBorders>
              <w:top w:val="single" w:sz="4" w:space="0" w:color="00000A"/>
              <w:left w:val="single" w:sz="4" w:space="0" w:color="00000A"/>
              <w:bottom w:val="single" w:sz="4" w:space="0" w:color="00000A"/>
              <w:right w:val="single" w:sz="4" w:space="0" w:color="00000A"/>
            </w:tcBorders>
            <w:shd w:val="clear" w:color="auto" w:fill="DDDDDD"/>
            <w:vAlign w:val="center"/>
          </w:tcPr>
          <w:p w14:paraId="00D14F97"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8E6F246" w14:textId="77777777" w:rsidR="00C710D0" w:rsidRDefault="00013E8A">
            <w:pPr>
              <w:rPr>
                <w:rFonts w:hint="eastAsia"/>
              </w:rPr>
            </w:pPr>
            <w:r>
              <w:rPr>
                <w:rFonts w:ascii="Calibri" w:eastAsia="Times New Roman" w:hAnsi="Calibri" w:cs="Arial"/>
                <w:color w:val="C0504D"/>
                <w:sz w:val="22"/>
                <w:szCs w:val="22"/>
                <w:lang w:eastAsia="en-US" w:bidi="ar-SA"/>
              </w:rPr>
              <w:t>3.11. Akceptace etapy implementace</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4EE95DE4" w14:textId="77777777" w:rsidR="00C710D0" w:rsidRDefault="00013E8A">
            <w:pPr>
              <w:rPr>
                <w:rFonts w:hint="eastAsia"/>
              </w:rPr>
            </w:pPr>
            <w:r>
              <w:rPr>
                <w:rFonts w:ascii="Calibri" w:eastAsia="Times New Roman" w:hAnsi="Calibri" w:cs="Arial"/>
                <w:b/>
                <w:bCs/>
                <w:sz w:val="22"/>
                <w:szCs w:val="22"/>
                <w:lang w:eastAsia="en-US" w:bidi="ar-SA"/>
              </w:rPr>
              <w:t>Akceptační protokol</w:t>
            </w:r>
            <w:r>
              <w:rPr>
                <w:rFonts w:ascii="Calibri" w:eastAsia="Times New Roman" w:hAnsi="Calibri" w:cs="Arial"/>
                <w:sz w:val="22"/>
                <w:szCs w:val="22"/>
                <w:lang w:eastAsia="en-US" w:bidi="ar-SA"/>
              </w:rPr>
              <w:t xml:space="preserve">. </w:t>
            </w:r>
          </w:p>
          <w:p w14:paraId="69C3DFF3" w14:textId="77777777" w:rsidR="00C710D0" w:rsidRDefault="00013E8A">
            <w:pPr>
              <w:rPr>
                <w:rFonts w:hint="eastAsia"/>
              </w:rPr>
            </w:pPr>
            <w:r>
              <w:rPr>
                <w:rFonts w:ascii="Calibri" w:eastAsia="Times New Roman" w:hAnsi="Calibri" w:cs="Arial"/>
                <w:sz w:val="22"/>
                <w:szCs w:val="22"/>
                <w:lang w:eastAsia="en-US" w:bidi="ar-SA"/>
              </w:rPr>
              <w:t>Akceptace etapy je prováděna Objednatelem na základě dílčích schválení postupových výsledků činností etapy.</w:t>
            </w:r>
          </w:p>
        </w:tc>
      </w:tr>
      <w:tr w:rsidR="00C710D0" w14:paraId="04AB33A3" w14:textId="77777777">
        <w:trPr>
          <w:cantSplit/>
          <w:trHeight w:val="800"/>
        </w:trPr>
        <w:tc>
          <w:tcPr>
            <w:tcW w:w="1359" w:type="dxa"/>
            <w:vMerge w:val="restart"/>
            <w:tcBorders>
              <w:top w:val="single" w:sz="4" w:space="0" w:color="00000A"/>
              <w:left w:val="single" w:sz="4" w:space="0" w:color="00000A"/>
              <w:bottom w:val="single" w:sz="4" w:space="0" w:color="00000A"/>
              <w:right w:val="single" w:sz="4" w:space="0" w:color="00000A"/>
            </w:tcBorders>
            <w:shd w:val="clear" w:color="auto" w:fill="FFFF99"/>
            <w:vAlign w:val="center"/>
          </w:tcPr>
          <w:p w14:paraId="541A3475" w14:textId="77777777" w:rsidR="00C710D0" w:rsidRDefault="00013E8A">
            <w:pPr>
              <w:jc w:val="cente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 xml:space="preserve">4. </w:t>
            </w:r>
            <w:proofErr w:type="spellStart"/>
            <w:r>
              <w:rPr>
                <w:rFonts w:ascii="Calibri" w:eastAsia="Times New Roman" w:hAnsi="Calibri" w:cs="Arial"/>
                <w:sz w:val="22"/>
                <w:szCs w:val="22"/>
                <w:lang w:eastAsia="en-US" w:bidi="ar-SA"/>
              </w:rPr>
              <w:t>Imple-mentační</w:t>
            </w:r>
            <w:proofErr w:type="spellEnd"/>
            <w:r>
              <w:rPr>
                <w:rFonts w:ascii="Calibri" w:eastAsia="Times New Roman" w:hAnsi="Calibri" w:cs="Arial"/>
                <w:sz w:val="22"/>
                <w:szCs w:val="22"/>
                <w:lang w:eastAsia="en-US" w:bidi="ar-SA"/>
              </w:rPr>
              <w:t xml:space="preserve"> dozor</w:t>
            </w: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5B496B"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4.1. Zahájení ostrého provozu systému, nabytí licencí, zahájení poskytování servisních služeb</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251C4A57" w14:textId="77777777" w:rsidR="00C710D0" w:rsidRDefault="00013E8A">
            <w:pPr>
              <w:rPr>
                <w:rFonts w:hint="eastAsia"/>
              </w:rPr>
            </w:pPr>
            <w:r>
              <w:rPr>
                <w:rFonts w:ascii="Calibri" w:eastAsia="Times New Roman" w:hAnsi="Calibri" w:cs="Arial"/>
                <w:b/>
                <w:bCs/>
                <w:sz w:val="22"/>
                <w:szCs w:val="22"/>
                <w:lang w:eastAsia="en-US" w:bidi="ar-SA"/>
              </w:rPr>
              <w:t>Protokol o zahájení ostrého provozu.</w:t>
            </w:r>
            <w:r>
              <w:rPr>
                <w:rFonts w:ascii="Calibri" w:eastAsia="Times New Roman" w:hAnsi="Calibri" w:cs="Arial"/>
                <w:sz w:val="22"/>
                <w:szCs w:val="22"/>
                <w:lang w:eastAsia="en-US" w:bidi="ar-SA"/>
              </w:rPr>
              <w:t xml:space="preserve"> Protokol je výsledkem rozhodnutí Objednatele na základě akceptace předchozí etapy a případného vypořádání připomínek z akceptace. </w:t>
            </w:r>
          </w:p>
          <w:p w14:paraId="495CB57C" w14:textId="77777777" w:rsidR="00C710D0" w:rsidRDefault="00013E8A">
            <w:pPr>
              <w:rPr>
                <w:rFonts w:hint="eastAsia"/>
              </w:rPr>
            </w:pPr>
            <w:r>
              <w:rPr>
                <w:rFonts w:ascii="Calibri" w:eastAsia="Times New Roman" w:hAnsi="Calibri" w:cs="Arial"/>
                <w:sz w:val="22"/>
                <w:szCs w:val="22"/>
                <w:lang w:eastAsia="en-US" w:bidi="ar-SA"/>
              </w:rPr>
              <w:t>Poznámka: Pro spuštění ostrého provozu systému musí být Dodavatelem řádně proveden převod celého systému do produktivního prostředí Objednatele a dokončena migrace dat základní včetně mzdových a personálních dat.</w:t>
            </w:r>
          </w:p>
        </w:tc>
      </w:tr>
      <w:tr w:rsidR="00C710D0" w14:paraId="3A450F8E" w14:textId="77777777">
        <w:trPr>
          <w:cantSplit/>
          <w:trHeight w:val="540"/>
        </w:trPr>
        <w:tc>
          <w:tcPr>
            <w:tcW w:w="1359" w:type="dxa"/>
            <w:vMerge/>
            <w:tcBorders>
              <w:top w:val="single" w:sz="4" w:space="0" w:color="00000A"/>
              <w:left w:val="single" w:sz="4" w:space="0" w:color="00000A"/>
              <w:bottom w:val="single" w:sz="4" w:space="0" w:color="00000A"/>
              <w:right w:val="single" w:sz="4" w:space="0" w:color="00000A"/>
            </w:tcBorders>
            <w:shd w:val="clear" w:color="auto" w:fill="FFFF99"/>
            <w:vAlign w:val="center"/>
          </w:tcPr>
          <w:p w14:paraId="36E8A2AC"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15B56BA4"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 xml:space="preserve">4.2. </w:t>
            </w:r>
            <w:proofErr w:type="spellStart"/>
            <w:r>
              <w:rPr>
                <w:rFonts w:ascii="Calibri" w:eastAsia="Times New Roman" w:hAnsi="Calibri" w:cs="Arial"/>
                <w:sz w:val="22"/>
                <w:szCs w:val="22"/>
                <w:lang w:eastAsia="en-US" w:bidi="ar-SA"/>
              </w:rPr>
              <w:t>Domigrování</w:t>
            </w:r>
            <w:proofErr w:type="spellEnd"/>
            <w:r>
              <w:rPr>
                <w:rFonts w:ascii="Calibri" w:eastAsia="Times New Roman" w:hAnsi="Calibri" w:cs="Arial"/>
                <w:sz w:val="22"/>
                <w:szCs w:val="22"/>
                <w:lang w:eastAsia="en-US" w:bidi="ar-SA"/>
              </w:rPr>
              <w:t xml:space="preserve"> všech dat</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6BEF2D2B" w14:textId="77777777" w:rsidR="00C710D0" w:rsidRDefault="00013E8A">
            <w:pPr>
              <w:rPr>
                <w:rFonts w:hint="eastAsia"/>
              </w:rPr>
            </w:pPr>
            <w:r>
              <w:rPr>
                <w:rFonts w:ascii="Calibri" w:eastAsia="Times New Roman" w:hAnsi="Calibri" w:cs="Arial"/>
                <w:b/>
                <w:bCs/>
                <w:sz w:val="22"/>
                <w:szCs w:val="22"/>
                <w:lang w:eastAsia="en-US" w:bidi="ar-SA"/>
              </w:rPr>
              <w:t>Protokol o provedené migraci dat</w:t>
            </w:r>
            <w:r>
              <w:rPr>
                <w:rFonts w:ascii="Calibri" w:eastAsia="Times New Roman" w:hAnsi="Calibri" w:cs="Arial"/>
                <w:sz w:val="22"/>
                <w:szCs w:val="22"/>
                <w:lang w:eastAsia="en-US" w:bidi="ar-SA"/>
              </w:rPr>
              <w:t xml:space="preserve"> (schválený Objednatelem). </w:t>
            </w:r>
          </w:p>
          <w:p w14:paraId="51A4CC79" w14:textId="77777777" w:rsidR="00C710D0" w:rsidRDefault="00013E8A">
            <w:pPr>
              <w:rPr>
                <w:rFonts w:hint="eastAsia"/>
              </w:rPr>
            </w:pPr>
            <w:r>
              <w:rPr>
                <w:rFonts w:ascii="Calibri" w:eastAsia="Times New Roman" w:hAnsi="Calibri" w:cs="Arial"/>
                <w:sz w:val="22"/>
                <w:szCs w:val="22"/>
                <w:lang w:eastAsia="en-US" w:bidi="ar-SA"/>
              </w:rPr>
              <w:t xml:space="preserve">Dodavatel za součinnosti Objednatele podle akceptovaného Detailního návrhu provede případné </w:t>
            </w:r>
            <w:proofErr w:type="spellStart"/>
            <w:r>
              <w:rPr>
                <w:rFonts w:ascii="Calibri" w:eastAsia="Times New Roman" w:hAnsi="Calibri" w:cs="Arial"/>
                <w:sz w:val="22"/>
                <w:szCs w:val="22"/>
                <w:lang w:eastAsia="en-US" w:bidi="ar-SA"/>
              </w:rPr>
              <w:t>domigrování</w:t>
            </w:r>
            <w:proofErr w:type="spellEnd"/>
            <w:r>
              <w:rPr>
                <w:rFonts w:ascii="Calibri" w:eastAsia="Times New Roman" w:hAnsi="Calibri" w:cs="Arial"/>
                <w:sz w:val="22"/>
                <w:szCs w:val="22"/>
                <w:lang w:eastAsia="en-US" w:bidi="ar-SA"/>
              </w:rPr>
              <w:t xml:space="preserve"> dat (zejména dat vzniklých v konci roku a dat z uzávěrky).</w:t>
            </w:r>
          </w:p>
        </w:tc>
      </w:tr>
      <w:tr w:rsidR="00C710D0" w14:paraId="25B345CF" w14:textId="77777777">
        <w:trPr>
          <w:cantSplit/>
          <w:trHeight w:val="340"/>
        </w:trPr>
        <w:tc>
          <w:tcPr>
            <w:tcW w:w="1359" w:type="dxa"/>
            <w:vMerge/>
            <w:tcBorders>
              <w:top w:val="single" w:sz="4" w:space="0" w:color="00000A"/>
              <w:left w:val="single" w:sz="4" w:space="0" w:color="00000A"/>
              <w:bottom w:val="single" w:sz="4" w:space="0" w:color="00000A"/>
              <w:right w:val="single" w:sz="4" w:space="0" w:color="00000A"/>
            </w:tcBorders>
            <w:shd w:val="clear" w:color="auto" w:fill="FFFF99"/>
            <w:vAlign w:val="center"/>
          </w:tcPr>
          <w:p w14:paraId="06728D03"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73985812" w14:textId="77777777" w:rsidR="00C710D0" w:rsidRDefault="00013E8A">
            <w:pPr>
              <w:rPr>
                <w:rFonts w:hint="eastAsia"/>
              </w:rPr>
            </w:pPr>
            <w:r>
              <w:rPr>
                <w:rFonts w:ascii="Calibri" w:eastAsia="Times New Roman" w:hAnsi="Calibri" w:cs="Arial"/>
                <w:sz w:val="22"/>
                <w:szCs w:val="22"/>
                <w:lang w:eastAsia="en-US" w:bidi="ar-SA"/>
              </w:rPr>
              <w:t xml:space="preserve">4.3. Ostrý provoz s implementačním dozorem </w:t>
            </w:r>
            <w:r>
              <w:rPr>
                <w:rFonts w:ascii="Calibri" w:eastAsia="Times New Roman" w:hAnsi="Calibri" w:cs="Times New Roman"/>
                <w:sz w:val="22"/>
                <w:szCs w:val="22"/>
                <w:lang w:eastAsia="en-US" w:bidi="ar-SA"/>
              </w:rPr>
              <w:t>Dodavatele</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36779C48" w14:textId="77777777" w:rsidR="00C710D0" w:rsidRDefault="00013E8A">
            <w:pPr>
              <w:rPr>
                <w:rFonts w:hint="eastAsia"/>
              </w:rPr>
            </w:pPr>
            <w:r>
              <w:rPr>
                <w:rFonts w:ascii="Calibri" w:eastAsia="Times New Roman" w:hAnsi="Calibri" w:cs="Arial"/>
                <w:sz w:val="22"/>
                <w:szCs w:val="22"/>
                <w:lang w:eastAsia="en-US" w:bidi="ar-SA"/>
              </w:rPr>
              <w:t>Provoz systému s ostrými daty v produktivním prostředí Objednatele.</w:t>
            </w:r>
            <w:r>
              <w:rPr>
                <w:rFonts w:ascii="Calibri" w:eastAsia="Times New Roman" w:hAnsi="Calibri" w:cs="Times New Roman"/>
                <w:sz w:val="22"/>
                <w:szCs w:val="22"/>
                <w:lang w:eastAsia="en-US" w:bidi="ar-SA"/>
              </w:rPr>
              <w:t xml:space="preserve"> </w:t>
            </w:r>
          </w:p>
        </w:tc>
      </w:tr>
      <w:tr w:rsidR="00C710D0" w14:paraId="1B1ABCCE" w14:textId="77777777">
        <w:trPr>
          <w:cantSplit/>
          <w:trHeight w:val="340"/>
        </w:trPr>
        <w:tc>
          <w:tcPr>
            <w:tcW w:w="1359" w:type="dxa"/>
            <w:vMerge/>
            <w:tcBorders>
              <w:top w:val="single" w:sz="4" w:space="0" w:color="00000A"/>
              <w:left w:val="single" w:sz="4" w:space="0" w:color="00000A"/>
              <w:bottom w:val="single" w:sz="4" w:space="0" w:color="00000A"/>
              <w:right w:val="single" w:sz="4" w:space="0" w:color="00000A"/>
            </w:tcBorders>
            <w:shd w:val="clear" w:color="auto" w:fill="FFFF99"/>
            <w:vAlign w:val="center"/>
          </w:tcPr>
          <w:p w14:paraId="6989CCE5"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6865DF5" w14:textId="77777777" w:rsidR="00C710D0" w:rsidRDefault="00013E8A">
            <w:pPr>
              <w:rPr>
                <w:rFonts w:hint="eastAsia"/>
              </w:rPr>
            </w:pPr>
            <w:r>
              <w:rPr>
                <w:rFonts w:ascii="Calibri" w:eastAsia="Times New Roman" w:hAnsi="Calibri" w:cs="Arial"/>
                <w:sz w:val="22"/>
                <w:szCs w:val="22"/>
                <w:lang w:eastAsia="en-US" w:bidi="ar-SA"/>
              </w:rPr>
              <w:t>4.4. Zpráva Dodavatele o odstranění případných provozních vad a nedodělků</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4BCF6801" w14:textId="77777777" w:rsidR="00C710D0" w:rsidRDefault="00013E8A">
            <w:pPr>
              <w:rPr>
                <w:rFonts w:hint="eastAsia"/>
              </w:rPr>
            </w:pPr>
            <w:r>
              <w:rPr>
                <w:rFonts w:ascii="Calibri" w:eastAsia="Times New Roman" w:hAnsi="Calibri" w:cs="Arial"/>
                <w:b/>
                <w:bCs/>
                <w:sz w:val="22"/>
                <w:szCs w:val="22"/>
                <w:lang w:eastAsia="en-US" w:bidi="ar-SA"/>
              </w:rPr>
              <w:t>Měsíční zprávy</w:t>
            </w:r>
            <w:r>
              <w:rPr>
                <w:rFonts w:ascii="Calibri" w:eastAsia="Times New Roman" w:hAnsi="Calibri" w:cs="Arial"/>
                <w:sz w:val="22"/>
                <w:szCs w:val="22"/>
                <w:lang w:eastAsia="en-US" w:bidi="ar-SA"/>
              </w:rPr>
              <w:t xml:space="preserve"> (schválené Objednatelem).</w:t>
            </w:r>
          </w:p>
          <w:p w14:paraId="6ED5CCB2" w14:textId="77777777" w:rsidR="00C710D0" w:rsidRDefault="00013E8A">
            <w:pPr>
              <w:rPr>
                <w:rFonts w:ascii="Calibri" w:eastAsia="Times New Roman" w:hAnsi="Calibri" w:cs="Arial"/>
                <w:sz w:val="22"/>
                <w:szCs w:val="22"/>
                <w:lang w:eastAsia="en-US" w:bidi="ar-SA"/>
              </w:rPr>
            </w:pPr>
            <w:r>
              <w:rPr>
                <w:rFonts w:ascii="Calibri" w:eastAsia="Times New Roman" w:hAnsi="Calibri" w:cs="Arial"/>
                <w:sz w:val="22"/>
                <w:szCs w:val="22"/>
                <w:lang w:eastAsia="en-US" w:bidi="ar-SA"/>
              </w:rPr>
              <w:t>Zpráva obsahuje veškeré servisní zásahy týkající se odstranění případných provozních vad a nedodělků.</w:t>
            </w:r>
          </w:p>
        </w:tc>
      </w:tr>
      <w:tr w:rsidR="00C710D0" w14:paraId="670D611C" w14:textId="77777777">
        <w:trPr>
          <w:cantSplit/>
          <w:trHeight w:val="540"/>
        </w:trPr>
        <w:tc>
          <w:tcPr>
            <w:tcW w:w="1359" w:type="dxa"/>
            <w:vMerge/>
            <w:tcBorders>
              <w:top w:val="single" w:sz="4" w:space="0" w:color="00000A"/>
              <w:left w:val="single" w:sz="4" w:space="0" w:color="00000A"/>
              <w:bottom w:val="single" w:sz="4" w:space="0" w:color="00000A"/>
              <w:right w:val="single" w:sz="4" w:space="0" w:color="00000A"/>
            </w:tcBorders>
            <w:shd w:val="clear" w:color="auto" w:fill="FFFF99"/>
            <w:vAlign w:val="center"/>
          </w:tcPr>
          <w:p w14:paraId="6BC9F34A" w14:textId="77777777" w:rsidR="00C710D0" w:rsidRDefault="00C710D0">
            <w:pPr>
              <w:rPr>
                <w:rFonts w:hint="eastAsia"/>
              </w:rPr>
            </w:pPr>
          </w:p>
        </w:tc>
        <w:tc>
          <w:tcPr>
            <w:tcW w:w="1909"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D875086" w14:textId="77777777" w:rsidR="00C710D0" w:rsidRDefault="00013E8A">
            <w:pPr>
              <w:rPr>
                <w:rFonts w:hint="eastAsia"/>
              </w:rPr>
            </w:pPr>
            <w:r>
              <w:rPr>
                <w:rFonts w:ascii="Calibri" w:eastAsia="Times New Roman" w:hAnsi="Calibri" w:cs="Arial"/>
                <w:color w:val="C0504D"/>
                <w:sz w:val="22"/>
                <w:szCs w:val="22"/>
                <w:lang w:eastAsia="en-US" w:bidi="ar-SA"/>
              </w:rPr>
              <w:t>4.5. Akceptace etapy implementačního dozoru</w:t>
            </w:r>
          </w:p>
        </w:tc>
        <w:tc>
          <w:tcPr>
            <w:tcW w:w="11348" w:type="dxa"/>
            <w:tcBorders>
              <w:top w:val="single" w:sz="4" w:space="0" w:color="00000A"/>
              <w:left w:val="single" w:sz="4" w:space="0" w:color="00000A"/>
              <w:bottom w:val="single" w:sz="4" w:space="0" w:color="00000A"/>
              <w:right w:val="single" w:sz="4" w:space="0" w:color="00000A"/>
            </w:tcBorders>
            <w:shd w:val="clear" w:color="auto" w:fill="auto"/>
          </w:tcPr>
          <w:p w14:paraId="0B28FB3A" w14:textId="77777777" w:rsidR="00C710D0" w:rsidRDefault="00013E8A">
            <w:pPr>
              <w:rPr>
                <w:rFonts w:hint="eastAsia"/>
              </w:rPr>
            </w:pPr>
            <w:r>
              <w:rPr>
                <w:rFonts w:ascii="Calibri" w:eastAsia="Times New Roman" w:hAnsi="Calibri" w:cs="Arial"/>
                <w:b/>
                <w:bCs/>
                <w:sz w:val="22"/>
                <w:szCs w:val="22"/>
                <w:lang w:eastAsia="en-US" w:bidi="ar-SA"/>
              </w:rPr>
              <w:t>Akceptační protokol</w:t>
            </w:r>
            <w:r>
              <w:rPr>
                <w:rFonts w:ascii="Calibri" w:eastAsia="Times New Roman" w:hAnsi="Calibri" w:cs="Arial"/>
                <w:sz w:val="22"/>
                <w:szCs w:val="22"/>
                <w:lang w:eastAsia="en-US" w:bidi="ar-SA"/>
              </w:rPr>
              <w:t xml:space="preserve">. </w:t>
            </w:r>
          </w:p>
          <w:p w14:paraId="3E3A8BAE" w14:textId="77777777" w:rsidR="00C710D0" w:rsidRDefault="00013E8A">
            <w:pPr>
              <w:rPr>
                <w:rFonts w:hint="eastAsia"/>
              </w:rPr>
            </w:pPr>
            <w:r>
              <w:rPr>
                <w:rFonts w:ascii="Calibri" w:eastAsia="Times New Roman" w:hAnsi="Calibri" w:cs="Arial"/>
                <w:sz w:val="22"/>
                <w:szCs w:val="22"/>
                <w:lang w:eastAsia="en-US" w:bidi="ar-SA"/>
              </w:rPr>
              <w:t>Akceptace etapy je prováděna Objednatelem na základě dílčích schválení postupových výsledků činností etapy.</w:t>
            </w:r>
          </w:p>
        </w:tc>
      </w:tr>
      <w:tr w:rsidR="00C710D0" w14:paraId="2127EC71" w14:textId="77777777">
        <w:trPr>
          <w:cantSplit/>
          <w:trHeight w:val="540"/>
        </w:trPr>
        <w:tc>
          <w:tcPr>
            <w:tcW w:w="3269" w:type="dxa"/>
            <w:gridSpan w:val="2"/>
            <w:tcBorders>
              <w:top w:val="single" w:sz="4" w:space="0" w:color="00000A"/>
              <w:left w:val="single" w:sz="4" w:space="0" w:color="00000A"/>
              <w:bottom w:val="single" w:sz="4" w:space="0" w:color="00000A"/>
              <w:right w:val="single" w:sz="4" w:space="0" w:color="00000A"/>
            </w:tcBorders>
            <w:shd w:val="clear" w:color="auto" w:fill="auto"/>
            <w:vAlign w:val="center"/>
          </w:tcPr>
          <w:p w14:paraId="07535348" w14:textId="77777777" w:rsidR="00C710D0" w:rsidRDefault="00013E8A">
            <w:pPr>
              <w:rPr>
                <w:rFonts w:hint="eastAsia"/>
              </w:rPr>
            </w:pPr>
            <w:r>
              <w:rPr>
                <w:rFonts w:ascii="Calibri" w:eastAsia="Times New Roman" w:hAnsi="Calibri" w:cs="Arial"/>
                <w:b/>
                <w:bCs/>
                <w:color w:val="C0504D"/>
                <w:sz w:val="22"/>
                <w:szCs w:val="22"/>
                <w:lang w:eastAsia="en-US" w:bidi="ar-SA"/>
              </w:rPr>
              <w:t>Akceptace Díla jako celku</w:t>
            </w:r>
          </w:p>
        </w:tc>
        <w:tc>
          <w:tcPr>
            <w:tcW w:w="11347" w:type="dxa"/>
            <w:tcBorders>
              <w:top w:val="single" w:sz="4" w:space="0" w:color="00000A"/>
              <w:left w:val="single" w:sz="4" w:space="0" w:color="00000A"/>
              <w:bottom w:val="single" w:sz="4" w:space="0" w:color="00000A"/>
              <w:right w:val="single" w:sz="4" w:space="0" w:color="00000A"/>
            </w:tcBorders>
            <w:shd w:val="clear" w:color="auto" w:fill="auto"/>
          </w:tcPr>
          <w:p w14:paraId="22AE980C" w14:textId="77777777" w:rsidR="00C710D0" w:rsidRDefault="00013E8A">
            <w:pPr>
              <w:rPr>
                <w:rFonts w:hint="eastAsia"/>
              </w:rPr>
            </w:pPr>
            <w:r>
              <w:rPr>
                <w:rFonts w:ascii="Calibri" w:eastAsia="Times New Roman" w:hAnsi="Calibri" w:cs="Arial"/>
                <w:b/>
                <w:bCs/>
                <w:sz w:val="22"/>
                <w:szCs w:val="22"/>
                <w:lang w:eastAsia="en-US" w:bidi="ar-SA"/>
              </w:rPr>
              <w:t>Akceptační protokol</w:t>
            </w:r>
            <w:r>
              <w:rPr>
                <w:rFonts w:ascii="Calibri" w:eastAsia="Times New Roman" w:hAnsi="Calibri" w:cs="Arial"/>
                <w:sz w:val="22"/>
                <w:szCs w:val="22"/>
                <w:lang w:eastAsia="en-US" w:bidi="ar-SA"/>
              </w:rPr>
              <w:t xml:space="preserve">. </w:t>
            </w:r>
          </w:p>
          <w:p w14:paraId="1F0BC241" w14:textId="77777777" w:rsidR="00C710D0" w:rsidRDefault="00013E8A">
            <w:pPr>
              <w:rPr>
                <w:rFonts w:hint="eastAsia"/>
              </w:rPr>
            </w:pPr>
            <w:r>
              <w:rPr>
                <w:rFonts w:ascii="Calibri" w:eastAsia="Times New Roman" w:hAnsi="Calibri" w:cs="Arial"/>
                <w:sz w:val="22"/>
                <w:szCs w:val="22"/>
                <w:lang w:eastAsia="en-US" w:bidi="ar-SA"/>
              </w:rPr>
              <w:t>Akceptace Díla jako celku je prováděna Objednatelem na základě akceptací předchozích etap a dokončení implementace systému bez zjevných vad a nedodělků.</w:t>
            </w:r>
          </w:p>
        </w:tc>
      </w:tr>
    </w:tbl>
    <w:p w14:paraId="13A660B4" w14:textId="77777777" w:rsidR="00C710D0" w:rsidRDefault="00C710D0">
      <w:pPr>
        <w:rPr>
          <w:rFonts w:hint="eastAsia"/>
        </w:rPr>
      </w:pPr>
    </w:p>
    <w:sectPr w:rsidR="00C710D0">
      <w:pgSz w:w="16838" w:h="11906" w:orient="landscape"/>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w:charset w:val="00"/>
    <w:family w:val="auto"/>
    <w:pitch w:val="variable"/>
    <w:sig w:usb0="800000AF" w:usb1="1001ECEA" w:usb2="00000000" w:usb3="00000000" w:csb0="00000001" w:csb1="00000000"/>
  </w:font>
  <w:font w:name="Liberation Serif">
    <w:altName w:val="Times New Roman"/>
    <w:charset w:val="01"/>
    <w:family w:val="roman"/>
    <w:pitch w:val="variable"/>
  </w:font>
  <w:font w:name="Arial Unicode MS">
    <w:panose1 w:val="020B0604020202020204"/>
    <w:charset w:val="00"/>
    <w:family w:val="auto"/>
    <w:pitch w:val="variable"/>
    <w:sig w:usb0="F7FFAFFF" w:usb1="E9DFFFFF" w:usb2="0000003F" w:usb3="00000000" w:csb0="003F01FF" w:csb1="00000000"/>
  </w:font>
  <w:font w:name="Liberation Sans">
    <w:altName w:val="Arial"/>
    <w:charset w:val="01"/>
    <w:family w:val="auto"/>
    <w:pitch w:val="variable"/>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22A9"/>
    <w:multiLevelType w:val="multilevel"/>
    <w:tmpl w:val="CFCEABB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548B3124"/>
    <w:multiLevelType w:val="multilevel"/>
    <w:tmpl w:val="F3467684"/>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69095E3E"/>
    <w:multiLevelType w:val="multilevel"/>
    <w:tmpl w:val="88C0D4B0"/>
    <w:lvl w:ilvl="0">
      <w:start w:val="1"/>
      <w:numFmt w:val="none"/>
      <w:pStyle w:val="Nadpis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0D0"/>
    <w:rsid w:val="00013E8A"/>
    <w:rsid w:val="00684587"/>
    <w:rsid w:val="0087389C"/>
    <w:rsid w:val="00C710D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F16EB3"/>
  <w15:docId w15:val="{02B46973-95F2-49E7-9025-E8227D30E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Unicode MS" w:hAnsi="Liberation Serif" w:cs="Arial Unicode MS"/>
        <w:kern w:val="2"/>
        <w:szCs w:val="24"/>
        <w:lang w:val="cs-CZ"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overflowPunct w:val="0"/>
    </w:pPr>
    <w:rPr>
      <w:color w:val="00000A"/>
      <w:sz w:val="24"/>
    </w:rPr>
  </w:style>
  <w:style w:type="paragraph" w:styleId="Nadpis1">
    <w:name w:val="heading 1"/>
    <w:basedOn w:val="Nadpis"/>
    <w:next w:val="Normln"/>
    <w:qFormat/>
    <w:pPr>
      <w:widowControl w:val="0"/>
      <w:numPr>
        <w:numId w:val="1"/>
      </w:numPr>
      <w:outlineLvl w:val="0"/>
    </w:pPr>
    <w:rPr>
      <w:rFonts w:ascii="Liberation Serif" w:hAnsi="Liberation Serif"/>
      <w:b/>
      <w:color w:val="auto"/>
      <w:sz w:val="32"/>
      <w:szCs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Odrky">
    <w:name w:val="Odrážky"/>
    <w:qFormat/>
    <w:rPr>
      <w:rFonts w:ascii="OpenSymbol" w:eastAsia="OpenSymbol" w:hAnsi="OpenSymbol" w:cs="OpenSymbol"/>
    </w:rPr>
  </w:style>
  <w:style w:type="character" w:customStyle="1" w:styleId="ListLabel1">
    <w:name w:val="ListLabel 1"/>
    <w:qFormat/>
    <w:rPr>
      <w:rFonts w:cs="OpenSymbol"/>
    </w:rPr>
  </w:style>
  <w:style w:type="character" w:customStyle="1" w:styleId="ListLabel2">
    <w:name w:val="ListLabel 2"/>
    <w:qFormat/>
    <w:rPr>
      <w:rFonts w:cs="OpenSymbol"/>
    </w:rPr>
  </w:style>
  <w:style w:type="character" w:customStyle="1" w:styleId="ListLabel3">
    <w:name w:val="ListLabel 3"/>
    <w:qFormat/>
    <w:rPr>
      <w:rFonts w:cs="OpenSymbol"/>
    </w:rPr>
  </w:style>
  <w:style w:type="character" w:customStyle="1" w:styleId="ListLabel4">
    <w:name w:val="ListLabel 4"/>
    <w:qFormat/>
    <w:rPr>
      <w:rFonts w:cs="OpenSymbol"/>
    </w:rPr>
  </w:style>
  <w:style w:type="character" w:customStyle="1" w:styleId="ListLabel5">
    <w:name w:val="ListLabel 5"/>
    <w:qFormat/>
    <w:rPr>
      <w:rFonts w:cs="OpenSymbol"/>
    </w:rPr>
  </w:style>
  <w:style w:type="character" w:customStyle="1" w:styleId="ListLabel6">
    <w:name w:val="ListLabel 6"/>
    <w:qFormat/>
    <w:rPr>
      <w:rFonts w:cs="OpenSymbol"/>
    </w:rPr>
  </w:style>
  <w:style w:type="character" w:customStyle="1" w:styleId="ListLabel7">
    <w:name w:val="ListLabel 7"/>
    <w:qFormat/>
    <w:rPr>
      <w:rFonts w:cs="OpenSymbol"/>
    </w:rPr>
  </w:style>
  <w:style w:type="character" w:customStyle="1" w:styleId="ListLabel8">
    <w:name w:val="ListLabel 8"/>
    <w:qFormat/>
    <w:rPr>
      <w:rFonts w:cs="OpenSymbol"/>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paragraph" w:customStyle="1" w:styleId="Nadpis">
    <w:name w:val="Nadpis"/>
    <w:basedOn w:val="Normln"/>
    <w:next w:val="Zkladntext"/>
    <w:qFormat/>
    <w:pPr>
      <w:keepNext/>
      <w:spacing w:before="240" w:after="120"/>
    </w:pPr>
    <w:rPr>
      <w:rFonts w:ascii="Liberation Sans" w:hAnsi="Liberation Sans"/>
      <w:sz w:val="28"/>
      <w:szCs w:val="28"/>
    </w:rPr>
  </w:style>
  <w:style w:type="paragraph" w:styleId="Zkladntext">
    <w:name w:val="Body Text"/>
    <w:basedOn w:val="Normln"/>
    <w:pPr>
      <w:spacing w:after="140" w:line="276" w:lineRule="auto"/>
    </w:pPr>
  </w:style>
  <w:style w:type="paragraph" w:styleId="Seznam">
    <w:name w:val="List"/>
    <w:basedOn w:val="Zkladntext"/>
  </w:style>
  <w:style w:type="paragraph" w:styleId="Titulek">
    <w:name w:val="caption"/>
    <w:basedOn w:val="Normln"/>
    <w:qFormat/>
    <w:pPr>
      <w:suppressLineNumbers/>
      <w:spacing w:before="120" w:after="120"/>
    </w:pPr>
    <w:rPr>
      <w:i/>
      <w:iCs/>
    </w:rPr>
  </w:style>
  <w:style w:type="paragraph" w:customStyle="1" w:styleId="Rejstk">
    <w:name w:val="Rejstřík"/>
    <w:basedOn w:val="Normln"/>
    <w:qFormat/>
    <w:pPr>
      <w:suppressLineNumbers/>
    </w:pPr>
  </w:style>
  <w:style w:type="paragraph" w:customStyle="1" w:styleId="Obsahtabulky">
    <w:name w:val="Obsah tabulky"/>
    <w:basedOn w:val="Normln"/>
    <w:qFormat/>
    <w:pPr>
      <w:suppressLineNumbers/>
    </w:pPr>
  </w:style>
  <w:style w:type="paragraph" w:customStyle="1" w:styleId="Nadpistabulky">
    <w:name w:val="Nadpis tabulky"/>
    <w:basedOn w:val="Obsahtabulky"/>
    <w:qForma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1485</Words>
  <Characters>8763</Characters>
  <Application>Microsoft Office Word</Application>
  <DocSecurity>0</DocSecurity>
  <Lines>73</Lines>
  <Paragraphs>20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 Levandovský</dc:creator>
  <dc:description/>
  <cp:lastModifiedBy>Vladimír Levandovský</cp:lastModifiedBy>
  <cp:revision>3</cp:revision>
  <dcterms:created xsi:type="dcterms:W3CDTF">2018-12-21T11:36:00Z</dcterms:created>
  <dcterms:modified xsi:type="dcterms:W3CDTF">2018-12-27T12:04:00Z</dcterms:modified>
  <dc:language>cs-CZ</dc:language>
</cp:coreProperties>
</file>