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DAF" w:rsidRPr="00AC6851" w:rsidRDefault="007E3492">
      <w:pPr>
        <w:rPr>
          <w:u w:val="single"/>
        </w:rPr>
      </w:pPr>
      <w:r w:rsidRPr="00AC6851">
        <w:rPr>
          <w:b/>
          <w:u w:val="single"/>
        </w:rPr>
        <w:t>Postup pro měření rozlišení detailů ve struktuře kovového vzorku</w:t>
      </w:r>
    </w:p>
    <w:p w:rsidR="007E3492" w:rsidRPr="008D3945" w:rsidRDefault="007E3492">
      <w:r w:rsidRPr="008D3945">
        <w:t>Pro účely porovnání schopnosti přístrojů zobrazovat detaily odlišného složení uvnitř kovových vzorků zadavatel zvolil vzorek titanové pěny. Pěna je v převažujícím objemu tvořena kompaktním titanem, ve kterém se vyskytují póry po nadouvadle</w:t>
      </w:r>
      <w:r w:rsidR="00BE2C3A" w:rsidRPr="008D3945">
        <w:t>.</w:t>
      </w:r>
      <w:r w:rsidRPr="008D3945">
        <w:t xml:space="preserve"> Hustota absorbujícího materiálu</w:t>
      </w:r>
      <w:r w:rsidR="00BE2C3A" w:rsidRPr="008D3945">
        <w:t xml:space="preserve"> (plynu)</w:t>
      </w:r>
      <w:r w:rsidRPr="008D3945">
        <w:t xml:space="preserve"> uvnitř pórů je zanedbatelná vzhledem k titanu. Velikost pórů sahá od submikronových až po mnohamikronové, které vznikají shlukováním menších </w:t>
      </w:r>
      <w:r w:rsidR="003B0026" w:rsidRPr="008D3945">
        <w:t xml:space="preserve">pórů </w:t>
      </w:r>
      <w:r w:rsidRPr="008D3945">
        <w:t xml:space="preserve">během </w:t>
      </w:r>
      <w:r w:rsidR="00BE2C3A" w:rsidRPr="008D3945">
        <w:t>rychlo</w:t>
      </w:r>
      <w:r w:rsidRPr="008D3945">
        <w:t xml:space="preserve">tavby původní směsi titanového prášku a nadouvadla. Počet i objem větších pórů tak klesá úměrně počtu pórů, které se musí shluknout, aby větší pór vytvořily. Přístroj, který je schopen detekovat velmi malé póry tak musí vidět podstatnou část objemu v malých pórech, které musejí vykazovat významný deficit absorpce vzhledem k okolnímu materiálu. </w:t>
      </w:r>
    </w:p>
    <w:p w:rsidR="007E3492" w:rsidRPr="008D3945" w:rsidRDefault="007E3492">
      <w:r w:rsidRPr="008D3945">
        <w:t>Přístroj bude používán v několika základních režimech, přičemž pro porovnání jsou zvoleny dva základní a jeden doplňkový.</w:t>
      </w:r>
    </w:p>
    <w:p w:rsidR="008355C9" w:rsidRPr="008D3945" w:rsidRDefault="007E3492" w:rsidP="008355C9">
      <w:pPr>
        <w:pStyle w:val="Odstavecseseznamem"/>
        <w:numPr>
          <w:ilvl w:val="0"/>
          <w:numId w:val="1"/>
        </w:numPr>
        <w:ind w:left="284" w:hanging="284"/>
        <w:rPr>
          <w:u w:val="single"/>
        </w:rPr>
      </w:pPr>
      <w:r w:rsidRPr="008D3945">
        <w:rPr>
          <w:u w:val="single"/>
        </w:rPr>
        <w:t>Režim maximálního rozlišení</w:t>
      </w:r>
      <w:r w:rsidR="002E52D4" w:rsidRPr="008D3945">
        <w:rPr>
          <w:u w:val="single"/>
        </w:rPr>
        <w:t xml:space="preserve"> v definované minimální oblasti vzorku</w:t>
      </w:r>
      <w:r w:rsidR="002E52D4" w:rsidRPr="008D3945">
        <w:rPr>
          <w:u w:val="single"/>
        </w:rPr>
        <w:br/>
      </w:r>
      <w:r w:rsidR="002E52D4" w:rsidRPr="008D3945">
        <w:t>Vzorek se umístí do takové vzdálenosti od zdroje a detektor do takové vzdálenosti od vzorku, aby zorné pole scanu zabralo alespoň objem vzorku velikosti 0,</w:t>
      </w:r>
      <w:r w:rsidR="00F66FDC" w:rsidRPr="008D3945">
        <w:t>2</w:t>
      </w:r>
      <w:r w:rsidR="002E52D4" w:rsidRPr="008D3945">
        <w:t>5×0,</w:t>
      </w:r>
      <w:r w:rsidR="00F66FDC" w:rsidRPr="008D3945">
        <w:t>2</w:t>
      </w:r>
      <w:r w:rsidR="002E52D4" w:rsidRPr="008D3945">
        <w:t>5×0,</w:t>
      </w:r>
      <w:r w:rsidR="00F66FDC" w:rsidRPr="008D3945">
        <w:t>2</w:t>
      </w:r>
      <w:r w:rsidR="002E52D4" w:rsidRPr="008D3945">
        <w:t>5 mm</w:t>
      </w:r>
      <w:r w:rsidR="002E52D4" w:rsidRPr="008D3945">
        <w:rPr>
          <w:vertAlign w:val="superscript"/>
        </w:rPr>
        <w:t>3</w:t>
      </w:r>
      <w:r w:rsidR="002E52D4" w:rsidRPr="008D3945">
        <w:t>. Toho je možné dosáhnout i několika postupnými snímáními menších zorných polí s následným korelačním skládáním obrazu, které musí být součástí základního rekonstrukčního softwaru.</w:t>
      </w:r>
    </w:p>
    <w:p w:rsidR="002E52D4" w:rsidRPr="008D3945" w:rsidRDefault="002E52D4" w:rsidP="008355C9">
      <w:pPr>
        <w:pStyle w:val="Odstavecseseznamem"/>
        <w:numPr>
          <w:ilvl w:val="0"/>
          <w:numId w:val="1"/>
        </w:numPr>
        <w:ind w:left="284" w:hanging="284"/>
        <w:rPr>
          <w:u w:val="single"/>
        </w:rPr>
      </w:pPr>
      <w:r w:rsidRPr="008D3945">
        <w:rPr>
          <w:u w:val="single"/>
        </w:rPr>
        <w:t>Režim maximálního rozlišení v poloze vzorku pro měření s teplotní a namáhací komorou</w:t>
      </w:r>
      <w:r w:rsidRPr="008D3945">
        <w:rPr>
          <w:u w:val="single"/>
        </w:rPr>
        <w:br/>
      </w:r>
      <w:r w:rsidRPr="008D3945">
        <w:t>Vzorek se umístí do takové vzdálenosti od zdroje a detektor do takové vzdálenosti od vzorku v jaké by vzorek mohl být namontován uvnitř teplotní a namáhací komory, aby zorné pole scanu zabralo alespoň objem vzorku velikosti 0,</w:t>
      </w:r>
      <w:r w:rsidR="00F66FDC" w:rsidRPr="008D3945">
        <w:t>2</w:t>
      </w:r>
      <w:r w:rsidRPr="008D3945">
        <w:t>5×0,</w:t>
      </w:r>
      <w:r w:rsidR="00F66FDC" w:rsidRPr="008D3945">
        <w:t>2</w:t>
      </w:r>
      <w:r w:rsidRPr="008D3945">
        <w:t>5×0,</w:t>
      </w:r>
      <w:r w:rsidR="00F66FDC" w:rsidRPr="008D3945">
        <w:t>2</w:t>
      </w:r>
      <w:r w:rsidRPr="008D3945">
        <w:t>5 mm</w:t>
      </w:r>
      <w:r w:rsidRPr="008D3945">
        <w:rPr>
          <w:vertAlign w:val="superscript"/>
        </w:rPr>
        <w:t>3</w:t>
      </w:r>
      <w:r w:rsidRPr="008D3945">
        <w:t>.</w:t>
      </w:r>
    </w:p>
    <w:p w:rsidR="00037F02" w:rsidRPr="008D3945" w:rsidRDefault="002E52D4" w:rsidP="00682BF7">
      <w:pPr>
        <w:pStyle w:val="Odstavecseseznamem"/>
        <w:numPr>
          <w:ilvl w:val="0"/>
          <w:numId w:val="1"/>
        </w:numPr>
        <w:ind w:left="284" w:hanging="284"/>
      </w:pPr>
      <w:r w:rsidRPr="008D3945">
        <w:rPr>
          <w:u w:val="single"/>
        </w:rPr>
        <w:t>Režim maximálního rozlišení pro další in situ experimenty s omezeným úhlovým oknem</w:t>
      </w:r>
      <w:r w:rsidR="00C54CF0" w:rsidRPr="008D3945">
        <w:rPr>
          <w:u w:val="single"/>
        </w:rPr>
        <w:t xml:space="preserve"> (LRA)</w:t>
      </w:r>
      <w:r w:rsidRPr="008D3945">
        <w:br/>
      </w:r>
      <w:r w:rsidR="00220D4E" w:rsidRPr="008D3945">
        <w:t>Vzorek se umístí do takové vzdálenosti od zdroje a detektor do takové vzdálenosti od vzorku, aby se me</w:t>
      </w:r>
      <w:r w:rsidR="00560E2B" w:rsidRPr="008D3945">
        <w:t>z</w:t>
      </w:r>
      <w:r w:rsidR="00220D4E" w:rsidRPr="008D3945">
        <w:t>i zdrojem a detektorem mohlo pohybovat jedno válcové souosé rameno s průměrem alespoň 10 mm a vzdáleností jeho osy od osy rotace 50 mm (viz Obr. 1). Z rekonstrukce se vyloučí všechna data, která by byla na detektoru zastíněna takovým pro rtg. záření nepropustným ramenem</w:t>
      </w:r>
      <w:r w:rsidR="00037F02" w:rsidRPr="008D3945">
        <w:t xml:space="preserve">, nebo </w:t>
      </w:r>
      <w:r w:rsidR="000F483D" w:rsidRPr="008D3945">
        <w:t xml:space="preserve">která </w:t>
      </w:r>
      <w:r w:rsidR="00037F02" w:rsidRPr="008D3945">
        <w:t>nelze naměřit kvůli prostorové nekompatibilitě s ramenem</w:t>
      </w:r>
      <w:r w:rsidR="00220D4E" w:rsidRPr="008D3945">
        <w:t xml:space="preserve">. Je možné pro tento </w:t>
      </w:r>
      <w:r w:rsidR="000F483D" w:rsidRPr="008D3945">
        <w:t>r</w:t>
      </w:r>
      <w:r w:rsidR="00220D4E" w:rsidRPr="008D3945">
        <w:t>ežim použít např. data z předchozího rež</w:t>
      </w:r>
      <w:r w:rsidR="00037F02" w:rsidRPr="008D3945">
        <w:t>i</w:t>
      </w:r>
      <w:r w:rsidR="00220D4E" w:rsidRPr="008D3945">
        <w:t>m</w:t>
      </w:r>
      <w:r w:rsidR="00037F02" w:rsidRPr="008D3945">
        <w:t>u</w:t>
      </w:r>
      <w:r w:rsidR="00220D4E" w:rsidRPr="008D3945">
        <w:t>, pokud splňuje podmínky umístění vzorku</w:t>
      </w:r>
      <w:r w:rsidR="00037F02" w:rsidRPr="008D3945">
        <w:t xml:space="preserve"> a možnosti otáčení ramene</w:t>
      </w:r>
      <w:r w:rsidR="00220D4E" w:rsidRPr="008D3945">
        <w:t xml:space="preserve">. </w:t>
      </w:r>
      <w:r w:rsidR="003916CB">
        <w:t>Je též možné tento re</w:t>
      </w:r>
      <w:r w:rsidR="00D754EC">
        <w:t xml:space="preserve">žim simulovat umístěním skutečné </w:t>
      </w:r>
      <w:r w:rsidR="003916CB">
        <w:t xml:space="preserve">souosé </w:t>
      </w:r>
      <w:r w:rsidR="00D754EC">
        <w:t>ocelové tyče takového profilu, která v půdorysu překrývá k</w:t>
      </w:r>
      <w:r w:rsidR="001C0B0C">
        <w:t>ruhový průřez naznačený Obr. 1</w:t>
      </w:r>
      <w:r w:rsidR="001C0B0C" w:rsidRPr="00AC65B7">
        <w:t>, a která přesahuje svislý rozměr zorného pole scanu na obě strany (nahoru i dolů) alespoň o 30 mm.</w:t>
      </w:r>
      <w:r w:rsidR="001C0B0C">
        <w:t xml:space="preserve"> </w:t>
      </w:r>
      <w:r w:rsidR="00D754EC">
        <w:t xml:space="preserve">K měření je též možné využít několik různých vzdáleností s různými zornými poli s tím, že za čas měření (viz níže) se považuje celkový čas potřebný k uskutečnění všech takových měření. </w:t>
      </w:r>
      <w:r w:rsidR="002D7C65">
        <w:t xml:space="preserve">Volba úhlu umístění simulovaného ramene vzhledem ke vzorku je libovolná, ale musí být konstantní (rameno rotuje spolu se vzorkem). </w:t>
      </w:r>
      <w:r w:rsidR="00220D4E" w:rsidRPr="008D3945">
        <w:t>Tento režim není povinnou součástí dodávky, pokud rekonstrukční software takový režim neumožňuje, nem</w:t>
      </w:r>
      <w:r w:rsidR="00560E2B" w:rsidRPr="008D3945">
        <w:t>u</w:t>
      </w:r>
      <w:r w:rsidR="00220D4E" w:rsidRPr="008D3945">
        <w:t xml:space="preserve">sí být nabízen a dále zpracováván. V takovém případě </w:t>
      </w:r>
      <w:r w:rsidR="000F483D" w:rsidRPr="008D3945">
        <w:t>d</w:t>
      </w:r>
      <w:r w:rsidR="00220D4E" w:rsidRPr="008D3945">
        <w:t>odavatel do kolonky pro výsledek uvede „NE“.</w:t>
      </w:r>
    </w:p>
    <w:p w:rsidR="00037F02" w:rsidRPr="008D3945" w:rsidRDefault="00037F02" w:rsidP="00220D4E">
      <w:r w:rsidRPr="008D3945">
        <w:rPr>
          <w:noProof/>
          <w:lang w:eastAsia="cs-CZ"/>
        </w:rPr>
        <w:lastRenderedPageBreak/>
        <w:drawing>
          <wp:inline distT="0" distB="0" distL="0" distR="0">
            <wp:extent cx="4290220" cy="23377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0843" cy="2348996"/>
                    </a:xfrm>
                    <a:prstGeom prst="rect">
                      <a:avLst/>
                    </a:prstGeom>
                    <a:noFill/>
                    <a:ln>
                      <a:noFill/>
                    </a:ln>
                  </pic:spPr>
                </pic:pic>
              </a:graphicData>
            </a:graphic>
          </wp:inline>
        </w:drawing>
      </w:r>
    </w:p>
    <w:p w:rsidR="00037F02" w:rsidRPr="008D3945" w:rsidRDefault="00037F02" w:rsidP="00220D4E">
      <w:r w:rsidRPr="008D3945">
        <w:t>Obr. 1: Schéma ramene in-situ zařízení a jeho stínu v jedné z poloh v průběhu měření.</w:t>
      </w:r>
    </w:p>
    <w:p w:rsidR="000A2D96" w:rsidRPr="008D3945" w:rsidRDefault="000A2D96" w:rsidP="00220D4E">
      <w:r w:rsidRPr="008D3945">
        <w:t>Postup pro stanovení závazných hodnot k porovnání rozlišovacích schopností přístroje je pak následující:</w:t>
      </w:r>
    </w:p>
    <w:p w:rsidR="00220D4E" w:rsidRPr="008D3945" w:rsidRDefault="00220D4E" w:rsidP="000A2D96">
      <w:pPr>
        <w:pStyle w:val="Odstavecseseznamem"/>
        <w:numPr>
          <w:ilvl w:val="0"/>
          <w:numId w:val="2"/>
        </w:numPr>
        <w:ind w:left="426" w:hanging="426"/>
      </w:pPr>
      <w:r w:rsidRPr="008D3945">
        <w:t xml:space="preserve">Po provedení potřebného snímání se zaznamená čas měření </w:t>
      </w:r>
      <w:r w:rsidRPr="008D3945">
        <w:rPr>
          <w:i/>
        </w:rPr>
        <w:t>T</w:t>
      </w:r>
      <w:r w:rsidRPr="008D3945">
        <w:rPr>
          <w:i/>
          <w:vertAlign w:val="subscript"/>
        </w:rPr>
        <w:t>m</w:t>
      </w:r>
      <w:r w:rsidRPr="008D3945">
        <w:t xml:space="preserve"> v</w:t>
      </w:r>
      <w:r w:rsidR="00951D0E" w:rsidRPr="008D3945">
        <w:t> započatých minutách</w:t>
      </w:r>
      <w:r w:rsidRPr="008D3945">
        <w:t>.</w:t>
      </w:r>
      <w:r w:rsidR="00951D0E" w:rsidRPr="008D3945">
        <w:t xml:space="preserve"> Počítá se čas potřebný pro získání všech potřebných dat včetně pohybů od výchozí polohy do konečné, je-li využito možnosti skládání obrazu, pak celkový čas všech potřebných snímání. </w:t>
      </w:r>
    </w:p>
    <w:p w:rsidR="000A2D96" w:rsidRPr="008D3945" w:rsidRDefault="000A2D96" w:rsidP="000A2D96">
      <w:pPr>
        <w:pStyle w:val="Odstavecseseznamem"/>
        <w:numPr>
          <w:ilvl w:val="0"/>
          <w:numId w:val="2"/>
        </w:numPr>
        <w:ind w:left="426" w:hanging="426"/>
      </w:pPr>
      <w:r w:rsidRPr="008D3945">
        <w:t>Provede se primární rekonstrukce absorpce v objemu co největšího zorného pole ve vzorku, které nasbíraná data umožňují</w:t>
      </w:r>
      <w:r w:rsidR="008355C9" w:rsidRPr="008D3945">
        <w:t xml:space="preserve"> rekonstruovat</w:t>
      </w:r>
      <w:r w:rsidRPr="008D3945">
        <w:t>, přičemž minimum je 0,</w:t>
      </w:r>
      <w:r w:rsidR="00F66FDC" w:rsidRPr="008D3945">
        <w:t>2</w:t>
      </w:r>
      <w:r w:rsidRPr="008D3945">
        <w:t>5×0,</w:t>
      </w:r>
      <w:r w:rsidR="00F66FDC" w:rsidRPr="008D3945">
        <w:t>2</w:t>
      </w:r>
      <w:r w:rsidRPr="008D3945">
        <w:t>5×0,</w:t>
      </w:r>
      <w:r w:rsidR="00F66FDC" w:rsidRPr="008D3945">
        <w:t>2</w:t>
      </w:r>
      <w:r w:rsidRPr="008D3945">
        <w:t>5 mm</w:t>
      </w:r>
      <w:r w:rsidRPr="008D3945">
        <w:rPr>
          <w:vertAlign w:val="superscript"/>
        </w:rPr>
        <w:t>3</w:t>
      </w:r>
      <w:r w:rsidRPr="008D3945">
        <w:t xml:space="preserve">. Zaznamená se čas potřebný pro rekonstrukci </w:t>
      </w:r>
      <w:r w:rsidRPr="008D3945">
        <w:rPr>
          <w:i/>
        </w:rPr>
        <w:t>T</w:t>
      </w:r>
      <w:r w:rsidRPr="008D3945">
        <w:rPr>
          <w:i/>
          <w:vertAlign w:val="subscript"/>
        </w:rPr>
        <w:t>r</w:t>
      </w:r>
      <w:r w:rsidRPr="008D3945">
        <w:t xml:space="preserve"> v započatých </w:t>
      </w:r>
      <w:r w:rsidR="00DF02BE" w:rsidRPr="008D3945">
        <w:t xml:space="preserve">minutách, velikost rekonstruované oblasti </w:t>
      </w:r>
      <w:r w:rsidR="00DF02BE" w:rsidRPr="008D3945">
        <w:rPr>
          <w:i/>
        </w:rPr>
        <w:t>X</w:t>
      </w:r>
      <w:r w:rsidR="00DF02BE" w:rsidRPr="008D3945">
        <w:rPr>
          <w:i/>
          <w:vertAlign w:val="subscript"/>
        </w:rPr>
        <w:t>r</w:t>
      </w:r>
      <w:r w:rsidR="00DF02BE" w:rsidRPr="008D3945">
        <w:t xml:space="preserve">, </w:t>
      </w:r>
      <w:r w:rsidR="00DF02BE" w:rsidRPr="008D3945">
        <w:rPr>
          <w:i/>
        </w:rPr>
        <w:t>Y</w:t>
      </w:r>
      <w:r w:rsidR="00DF02BE" w:rsidRPr="008D3945">
        <w:rPr>
          <w:i/>
          <w:vertAlign w:val="subscript"/>
        </w:rPr>
        <w:t>r</w:t>
      </w:r>
      <w:r w:rsidR="00DF02BE" w:rsidRPr="008D3945">
        <w:t xml:space="preserve"> a </w:t>
      </w:r>
      <w:r w:rsidR="00DF02BE" w:rsidRPr="008D3945">
        <w:rPr>
          <w:i/>
        </w:rPr>
        <w:t>Z</w:t>
      </w:r>
      <w:r w:rsidR="00DF02BE" w:rsidRPr="008D3945">
        <w:rPr>
          <w:i/>
          <w:vertAlign w:val="subscript"/>
        </w:rPr>
        <w:t>r</w:t>
      </w:r>
      <w:r w:rsidR="00DF02BE" w:rsidRPr="008D3945">
        <w:t xml:space="preserve"> v milimet</w:t>
      </w:r>
      <w:r w:rsidR="009951AC" w:rsidRPr="008D3945">
        <w:t>r</w:t>
      </w:r>
      <w:r w:rsidR="00DF02BE" w:rsidRPr="008D3945">
        <w:t>ech, přičemž všechny tyto rozměry musí být minimálně 0,</w:t>
      </w:r>
      <w:r w:rsidR="008355C9" w:rsidRPr="008D3945">
        <w:t>2</w:t>
      </w:r>
      <w:r w:rsidR="00DF02BE" w:rsidRPr="008D3945">
        <w:t xml:space="preserve">5 mm. </w:t>
      </w:r>
      <w:r w:rsidR="005D5B67">
        <w:t xml:space="preserve">Není li rekonstruovaná oblast pravoúhlá, za velikost se považuje taková pravoúhlá oblast, která lze do skutečné rekonstuované oblasti celá vepsat. </w:t>
      </w:r>
      <w:r w:rsidR="00D754EC">
        <w:t xml:space="preserve">Čas potřebný pro rekonstrukci je čas veškerých výpočtů, které je nutné s použitím předem naměřných dat uskutečnit, aby  byla rekonstruována absorpční data v rekonstruované oblasti. </w:t>
      </w:r>
      <w:r w:rsidRPr="008D3945">
        <w:t xml:space="preserve">Pro rekonstrukci je možno užít algoritmů využívajících výhradně data z měření, nesmí být korigován šum nebo použity jakékoliv dodatečné předpoklady na rozdělení hustoty (absorpce) </w:t>
      </w:r>
      <w:r w:rsidR="00735B40" w:rsidRPr="008D3945">
        <w:t>uvnitř</w:t>
      </w:r>
      <w:r w:rsidRPr="008D3945">
        <w:t xml:space="preserve"> vzorku. Je možné použít korekci na tvar vzorku (beam hardening)</w:t>
      </w:r>
      <w:r w:rsidR="00735B40" w:rsidRPr="008D3945">
        <w:t>, ale každý voxel musí př</w:t>
      </w:r>
      <w:r w:rsidR="008355C9" w:rsidRPr="008D3945">
        <w:t xml:space="preserve">ipouštět </w:t>
      </w:r>
      <w:r w:rsidR="00735B40" w:rsidRPr="008D3945">
        <w:t xml:space="preserve">nezávislou hodnotu absorpce. </w:t>
      </w:r>
      <w:r w:rsidR="00DF02BE" w:rsidRPr="008D3945">
        <w:t>Rozměry voxelu mohou být libovolné s tím, že největší rozměr nesmí být větší než dvojnásobek nejmenšího.</w:t>
      </w:r>
      <w:r w:rsidR="00630D4E" w:rsidRPr="008D3945">
        <w:t xml:space="preserve"> Stanoví se objem voxelu </w:t>
      </w:r>
      <w:r w:rsidR="00630D4E" w:rsidRPr="008D3945">
        <w:rPr>
          <w:i/>
        </w:rPr>
        <w:t>V</w:t>
      </w:r>
      <w:r w:rsidR="00630D4E" w:rsidRPr="008D3945">
        <w:rPr>
          <w:i/>
          <w:vertAlign w:val="subscript"/>
        </w:rPr>
        <w:t>x</w:t>
      </w:r>
      <w:r w:rsidR="00630D4E" w:rsidRPr="008D3945">
        <w:t>.</w:t>
      </w:r>
      <w:r w:rsidR="00DF02BE" w:rsidRPr="008D3945">
        <w:t xml:space="preserve"> </w:t>
      </w:r>
      <w:r w:rsidR="00735B40" w:rsidRPr="008D3945">
        <w:t>Tato data se považují za „původní rekonstruovaná data“.</w:t>
      </w:r>
    </w:p>
    <w:p w:rsidR="00DF02BE" w:rsidRPr="008D3945" w:rsidRDefault="00DF02BE" w:rsidP="000A2D96">
      <w:pPr>
        <w:pStyle w:val="Odstavecseseznamem"/>
        <w:numPr>
          <w:ilvl w:val="0"/>
          <w:numId w:val="2"/>
        </w:numPr>
        <w:ind w:left="426" w:hanging="426"/>
      </w:pPr>
      <w:r w:rsidRPr="008D3945">
        <w:t xml:space="preserve">Pro účely dalšího zpracování se uvnitř rekonstruovaného objemu vybere oblast zájmu (ROI), </w:t>
      </w:r>
      <w:r w:rsidR="001E28DF" w:rsidRPr="008D3945">
        <w:t>jejíž minimální rozměry jsou 0,</w:t>
      </w:r>
      <w:r w:rsidR="00F66FDC" w:rsidRPr="008D3945">
        <w:t>2</w:t>
      </w:r>
      <w:r w:rsidR="001E28DF" w:rsidRPr="008D3945">
        <w:t>5×0,</w:t>
      </w:r>
      <w:r w:rsidR="00F66FDC" w:rsidRPr="008D3945">
        <w:t>2</w:t>
      </w:r>
      <w:r w:rsidR="001E28DF" w:rsidRPr="008D3945">
        <w:t>5×0,</w:t>
      </w:r>
      <w:r w:rsidR="00F66FDC" w:rsidRPr="008D3945">
        <w:t>2</w:t>
      </w:r>
      <w:r w:rsidR="001E28DF" w:rsidRPr="008D3945">
        <w:t>5 mm</w:t>
      </w:r>
      <w:r w:rsidR="001E28DF" w:rsidRPr="008D3945">
        <w:rPr>
          <w:vertAlign w:val="superscript"/>
        </w:rPr>
        <w:t>3</w:t>
      </w:r>
      <w:r w:rsidR="001E28DF" w:rsidRPr="008D3945">
        <w:t xml:space="preserve"> a musí</w:t>
      </w:r>
      <w:r w:rsidR="00AD0841">
        <w:t xml:space="preserve"> celá</w:t>
      </w:r>
      <w:r w:rsidR="001E28DF" w:rsidRPr="008D3945">
        <w:t xml:space="preserve"> </w:t>
      </w:r>
      <w:r w:rsidR="00AD0841">
        <w:t>ležet uvnitř vzorku.</w:t>
      </w:r>
      <w:r w:rsidR="001E28DF" w:rsidRPr="008D3945">
        <w:t xml:space="preserve"> Je možné též použít celou rekonstruovanou oblast, pokud se celá souvisle nachází uvnitř vzorku. Stanoví se objem oblasti</w:t>
      </w:r>
      <w:r w:rsidR="00F66FDC" w:rsidRPr="008D3945">
        <w:t xml:space="preserve"> zájmu</w:t>
      </w:r>
      <w:r w:rsidR="001E28DF" w:rsidRPr="008D3945">
        <w:t xml:space="preserve"> </w:t>
      </w:r>
      <w:r w:rsidR="001E28DF" w:rsidRPr="008D3945">
        <w:rPr>
          <w:i/>
        </w:rPr>
        <w:t>V</w:t>
      </w:r>
      <w:r w:rsidR="001E28DF" w:rsidRPr="008D3945">
        <w:rPr>
          <w:vertAlign w:val="subscript"/>
        </w:rPr>
        <w:t>0</w:t>
      </w:r>
      <w:r w:rsidR="001E28DF" w:rsidRPr="008D3945">
        <w:t xml:space="preserve"> v </w:t>
      </w:r>
      <w:r w:rsidR="009F2989">
        <w:t>μ</w:t>
      </w:r>
      <w:r w:rsidR="001E28DF" w:rsidRPr="008D3945">
        <w:t>m</w:t>
      </w:r>
      <w:r w:rsidR="001E28DF" w:rsidRPr="008D3945">
        <w:rPr>
          <w:vertAlign w:val="superscript"/>
        </w:rPr>
        <w:t>3</w:t>
      </w:r>
      <w:r w:rsidR="001E28DF" w:rsidRPr="008D3945">
        <w:t xml:space="preserve"> a průměrná hodnota absorpce mater</w:t>
      </w:r>
      <w:r w:rsidR="008D691C" w:rsidRPr="008D3945">
        <w:t>i</w:t>
      </w:r>
      <w:r w:rsidR="001E28DF" w:rsidRPr="008D3945">
        <w:t xml:space="preserve">álu v ní </w:t>
      </w:r>
      <w:r w:rsidR="001E28DF" w:rsidRPr="008D3945">
        <w:rPr>
          <w:i/>
        </w:rPr>
        <w:t>A</w:t>
      </w:r>
      <w:r w:rsidR="001E28DF" w:rsidRPr="008D3945">
        <w:rPr>
          <w:vertAlign w:val="subscript"/>
        </w:rPr>
        <w:t>0</w:t>
      </w:r>
      <w:r w:rsidR="001E28DF" w:rsidRPr="008D3945">
        <w:t>. Hodnota absorpce nemusí být normalizována, považuje se za ní libovolné měřítko zeslabení rtg. záření, které je použito v původních rekonstruovaných datech.</w:t>
      </w:r>
    </w:p>
    <w:p w:rsidR="00735B40" w:rsidRPr="008D3945" w:rsidRDefault="00735B40" w:rsidP="000A2D96">
      <w:pPr>
        <w:pStyle w:val="Odstavecseseznamem"/>
        <w:numPr>
          <w:ilvl w:val="0"/>
          <w:numId w:val="2"/>
        </w:numPr>
        <w:ind w:left="426" w:hanging="426"/>
      </w:pPr>
      <w:r w:rsidRPr="008D3945">
        <w:t>Za pomoci softwaru pro segmentaci složek vzorku se stanoví prostorové objemové rozložení jednotlivých pórů. Za pór se považuje souvislá oblast s nižší absorpcí o alespoň deseti voxelech, kde jednotlivé voxely mají společnou styčnou plochu, přičemž žádný pór neobsahuje voxel, který by měl styčnou plochu nebo hranu s voxelem příslušejícím jinému póru. Pro účely stanovení poloh a tvarů jednotlivých pórů je možné data zpracovávat libovolnými filtry, pro stanovení tvarů rozsahů pak i libovolné další algori</w:t>
      </w:r>
      <w:r w:rsidR="00164740">
        <w:t>t</w:t>
      </w:r>
      <w:r w:rsidRPr="008D3945">
        <w:t xml:space="preserve">my </w:t>
      </w:r>
      <w:r w:rsidR="005E3B02" w:rsidRPr="008D3945">
        <w:t xml:space="preserve">omezující rozlišitelný tvar </w:t>
      </w:r>
      <w:r w:rsidRPr="008D3945">
        <w:t>(veps</w:t>
      </w:r>
      <w:r w:rsidR="005E3B02" w:rsidRPr="008D3945">
        <w:t>a</w:t>
      </w:r>
      <w:r w:rsidRPr="008D3945">
        <w:t xml:space="preserve">né sféry, minimální separace, atp.), není však možné činit dodatečné předpoklady na výsledné statistické rozdělení </w:t>
      </w:r>
      <w:r w:rsidRPr="008D3945">
        <w:lastRenderedPageBreak/>
        <w:t>velikostí či tvarů pórů, neboť to má být předmětem zkoumání. Jediným ro</w:t>
      </w:r>
      <w:r w:rsidR="00A80262" w:rsidRPr="008D3945">
        <w:t>z</w:t>
      </w:r>
      <w:r w:rsidRPr="008D3945">
        <w:t>lišovacím znakem póru a materiálu musí být rozdíl v absorpci.</w:t>
      </w:r>
      <w:r w:rsidR="00436D9E" w:rsidRPr="008D3945">
        <w:t xml:space="preserve"> Schopnost definovat správné hranice pórů se považuje za test schopnosti sotfwaru pro zpracování dat. Dodavatel zároveň zaznamená postup, jakým k segmentaci pórů dospěl, aby tento postup mohl být reprodukován během ověřovacího měření při dodávce přístroje.</w:t>
      </w:r>
    </w:p>
    <w:p w:rsidR="005E3B02" w:rsidRPr="008D3945" w:rsidRDefault="001E28DF" w:rsidP="000A2D96">
      <w:pPr>
        <w:pStyle w:val="Odstavecseseznamem"/>
        <w:numPr>
          <w:ilvl w:val="0"/>
          <w:numId w:val="2"/>
        </w:numPr>
        <w:ind w:left="426" w:hanging="426"/>
      </w:pPr>
      <w:r w:rsidRPr="008D3945">
        <w:t xml:space="preserve">Stanoví se postupně </w:t>
      </w:r>
      <w:r w:rsidR="00E7009D" w:rsidRPr="008D3945">
        <w:t xml:space="preserve">počet všech pórů </w:t>
      </w:r>
      <w:r w:rsidR="00E7009D" w:rsidRPr="008D3945">
        <w:rPr>
          <w:i/>
        </w:rPr>
        <w:t>N</w:t>
      </w:r>
      <w:r w:rsidR="00E7009D" w:rsidRPr="008D3945">
        <w:rPr>
          <w:i/>
          <w:vertAlign w:val="subscript"/>
        </w:rPr>
        <w:t>k</w:t>
      </w:r>
      <w:r w:rsidR="00A80262" w:rsidRPr="008D3945">
        <w:rPr>
          <w:i/>
        </w:rPr>
        <w:t>,</w:t>
      </w:r>
      <w:r w:rsidR="00E7009D" w:rsidRPr="008D3945">
        <w:t xml:space="preserve"> </w:t>
      </w:r>
      <w:r w:rsidRPr="008D3945">
        <w:t xml:space="preserve">objem všech pórů </w:t>
      </w:r>
      <w:r w:rsidRPr="008D3945">
        <w:rPr>
          <w:i/>
        </w:rPr>
        <w:t>V</w:t>
      </w:r>
      <w:r w:rsidR="00436D9E" w:rsidRPr="008D3945">
        <w:rPr>
          <w:i/>
          <w:vertAlign w:val="subscript"/>
        </w:rPr>
        <w:t>k</w:t>
      </w:r>
      <w:r w:rsidR="00A5297C" w:rsidRPr="008D3945">
        <w:t xml:space="preserve"> v </w:t>
      </w:r>
      <w:r w:rsidR="00942E79" w:rsidRPr="008D3945">
        <w:t>μ</w:t>
      </w:r>
      <w:r w:rsidR="00A5297C" w:rsidRPr="008D3945">
        <w:t>m</w:t>
      </w:r>
      <w:r w:rsidR="00A5297C" w:rsidRPr="008D3945">
        <w:rPr>
          <w:vertAlign w:val="superscript"/>
        </w:rPr>
        <w:t>3</w:t>
      </w:r>
      <w:r w:rsidRPr="008D3945">
        <w:t xml:space="preserve"> </w:t>
      </w:r>
      <w:r w:rsidR="00A5297C" w:rsidRPr="008D3945">
        <w:t>(stanovený jako počet voxelů ve všech pórech dané velikostní třídy násobený objemem voxelu</w:t>
      </w:r>
      <w:r w:rsidR="00942E79" w:rsidRPr="008D3945">
        <w:t xml:space="preserve"> </w:t>
      </w:r>
      <w:r w:rsidR="00F66FDC" w:rsidRPr="008D3945">
        <w:rPr>
          <w:i/>
        </w:rPr>
        <w:t>V</w:t>
      </w:r>
      <w:r w:rsidR="00F66FDC" w:rsidRPr="008D3945">
        <w:rPr>
          <w:i/>
        </w:rPr>
        <w:softHyphen/>
      </w:r>
      <w:r w:rsidR="00F66FDC" w:rsidRPr="008D3945">
        <w:rPr>
          <w:i/>
        </w:rPr>
        <w:softHyphen/>
      </w:r>
      <w:r w:rsidR="00F66FDC" w:rsidRPr="008D3945">
        <w:rPr>
          <w:i/>
          <w:vertAlign w:val="subscript"/>
        </w:rPr>
        <w:t>x</w:t>
      </w:r>
      <w:r w:rsidR="00F66FDC" w:rsidRPr="008D3945">
        <w:t xml:space="preserve"> </w:t>
      </w:r>
      <w:r w:rsidR="00942E79" w:rsidRPr="008D3945">
        <w:t>v mikrometrech krychlových</w:t>
      </w:r>
      <w:r w:rsidR="00A5297C" w:rsidRPr="008D3945">
        <w:t xml:space="preserve">) </w:t>
      </w:r>
      <w:r w:rsidRPr="008D3945">
        <w:t xml:space="preserve">a průměrná hodnota absorpce </w:t>
      </w:r>
      <w:r w:rsidRPr="008D3945">
        <w:rPr>
          <w:i/>
        </w:rPr>
        <w:t>A</w:t>
      </w:r>
      <w:r w:rsidR="00436D9E" w:rsidRPr="008D3945">
        <w:rPr>
          <w:i/>
          <w:vertAlign w:val="subscript"/>
        </w:rPr>
        <w:t>k</w:t>
      </w:r>
      <w:r w:rsidRPr="008D3945">
        <w:t xml:space="preserve"> </w:t>
      </w:r>
      <w:r w:rsidR="00A5297C" w:rsidRPr="008D3945">
        <w:t xml:space="preserve">v pórech </w:t>
      </w:r>
      <w:r w:rsidRPr="008D3945">
        <w:t xml:space="preserve">(definovaná </w:t>
      </w:r>
      <w:r w:rsidR="00A5297C" w:rsidRPr="008D3945">
        <w:t>obdobně</w:t>
      </w:r>
      <w:r w:rsidRPr="008D3945">
        <w:t xml:space="preserve"> jako v bodě 3) pro póry splňující podmínku minimální</w:t>
      </w:r>
      <w:r w:rsidR="00436D9E" w:rsidRPr="008D3945">
        <w:t xml:space="preserve">ho počtu voxelů </w:t>
      </w:r>
      <w:r w:rsidR="00E7009D" w:rsidRPr="008D3945">
        <w:rPr>
          <w:i/>
        </w:rPr>
        <w:t>C</w:t>
      </w:r>
      <w:r w:rsidR="00436D9E" w:rsidRPr="008D3945">
        <w:rPr>
          <w:i/>
          <w:vertAlign w:val="subscript"/>
        </w:rPr>
        <w:t>k</w:t>
      </w:r>
      <w:r w:rsidR="00A5297C" w:rsidRPr="008D3945">
        <w:t xml:space="preserve">, kde </w:t>
      </w:r>
      <w:r w:rsidR="00A5297C" w:rsidRPr="008D3945">
        <w:rPr>
          <w:i/>
        </w:rPr>
        <w:t>k</w:t>
      </w:r>
      <w:r w:rsidR="00A5297C" w:rsidRPr="008D3945">
        <w:t xml:space="preserve"> nabývá hodnot od 1 do 10, </w:t>
      </w:r>
      <w:r w:rsidR="00436D9E" w:rsidRPr="008D3945">
        <w:t>definovaných v Tabulce 1. Hodnoty absorpce v pórech jednotlivých velikostních tříd se stanovují z původn</w:t>
      </w:r>
      <w:r w:rsidR="00A5297C" w:rsidRPr="008D3945">
        <w:t>í</w:t>
      </w:r>
      <w:r w:rsidR="00436D9E" w:rsidRPr="008D3945">
        <w:t xml:space="preserve">ch rekonstruovaných dat. Tyto hodnoty </w:t>
      </w:r>
      <w:r w:rsidR="00A80262" w:rsidRPr="008D3945">
        <w:t xml:space="preserve">se </w:t>
      </w:r>
      <w:r w:rsidR="00436D9E" w:rsidRPr="008D3945">
        <w:t xml:space="preserve">zaznamenají do </w:t>
      </w:r>
      <w:r w:rsidR="00C54CF0" w:rsidRPr="008D3945">
        <w:t>T</w:t>
      </w:r>
      <w:r w:rsidR="00436D9E" w:rsidRPr="008D3945">
        <w:t>abulky</w:t>
      </w:r>
      <w:r w:rsidR="00C54CF0" w:rsidRPr="008D3945">
        <w:t xml:space="preserve"> 1</w:t>
      </w:r>
      <w:r w:rsidR="00436D9E" w:rsidRPr="008D3945">
        <w:t>.</w:t>
      </w:r>
      <w:r w:rsidR="00AC5DCE" w:rsidRPr="008D3945">
        <w:t xml:space="preserve"> Pokud by výsledný počet zjištěných pórů v některé velikostní třídě byl nulový, uvede se objem pórů ve stejné hodnotě jako v předchozí velikostní třídě, počet jako nula a stejná hodnota průměrné absorpce jako v předchozí velikostní třídě. </w:t>
      </w:r>
    </w:p>
    <w:p w:rsidR="00C54CF0" w:rsidRPr="008D3945" w:rsidRDefault="00C54CF0" w:rsidP="00C54CF0">
      <w:pPr>
        <w:pStyle w:val="Odstavecseseznamem"/>
        <w:ind w:left="426"/>
      </w:pPr>
    </w:p>
    <w:tbl>
      <w:tblPr>
        <w:tblStyle w:val="Mkatabulky"/>
        <w:tblW w:w="0" w:type="auto"/>
        <w:tblInd w:w="42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726"/>
        <w:gridCol w:w="1732"/>
        <w:gridCol w:w="1687"/>
        <w:gridCol w:w="1709"/>
        <w:gridCol w:w="1732"/>
      </w:tblGrid>
      <w:tr w:rsidR="00EE5865" w:rsidRPr="008D3945" w:rsidTr="00F14524">
        <w:tc>
          <w:tcPr>
            <w:tcW w:w="1812" w:type="dxa"/>
            <w:tcBorders>
              <w:top w:val="single" w:sz="24" w:space="0" w:color="auto"/>
              <w:bottom w:val="single" w:sz="4" w:space="0" w:color="auto"/>
            </w:tcBorders>
          </w:tcPr>
          <w:p w:rsidR="00A5297C" w:rsidRPr="008D3945" w:rsidRDefault="00EE5865" w:rsidP="00F14524">
            <w:pPr>
              <w:pStyle w:val="Odstavecseseznamem"/>
              <w:ind w:left="0"/>
              <w:jc w:val="center"/>
            </w:pPr>
            <w:r w:rsidRPr="008D3945">
              <w:t>Číslo velikostní třídy</w:t>
            </w:r>
          </w:p>
        </w:tc>
        <w:tc>
          <w:tcPr>
            <w:tcW w:w="1812" w:type="dxa"/>
            <w:tcBorders>
              <w:top w:val="single" w:sz="24" w:space="0" w:color="auto"/>
              <w:bottom w:val="single" w:sz="4" w:space="0" w:color="auto"/>
            </w:tcBorders>
          </w:tcPr>
          <w:p w:rsidR="00A5297C" w:rsidRPr="008D3945" w:rsidRDefault="00F14524" w:rsidP="00EE5865">
            <w:pPr>
              <w:pStyle w:val="Odstavecseseznamem"/>
              <w:ind w:left="0"/>
              <w:jc w:val="center"/>
            </w:pPr>
            <w:r w:rsidRPr="008D3945">
              <w:t>Minim</w:t>
            </w:r>
            <w:r w:rsidR="00EE5865" w:rsidRPr="008D3945">
              <w:t>ální počet voxelů</w:t>
            </w:r>
          </w:p>
        </w:tc>
        <w:tc>
          <w:tcPr>
            <w:tcW w:w="1812" w:type="dxa"/>
            <w:tcBorders>
              <w:top w:val="single" w:sz="24" w:space="0" w:color="auto"/>
              <w:bottom w:val="single" w:sz="4" w:space="0" w:color="auto"/>
            </w:tcBorders>
          </w:tcPr>
          <w:p w:rsidR="00A5297C" w:rsidRPr="008D3945" w:rsidRDefault="00EE5865" w:rsidP="00EE5865">
            <w:pPr>
              <w:pStyle w:val="Odstavecseseznamem"/>
              <w:ind w:left="0"/>
              <w:jc w:val="center"/>
            </w:pPr>
            <w:r w:rsidRPr="008D3945">
              <w:t>Počet pórů</w:t>
            </w:r>
          </w:p>
        </w:tc>
        <w:tc>
          <w:tcPr>
            <w:tcW w:w="1813" w:type="dxa"/>
            <w:tcBorders>
              <w:top w:val="single" w:sz="24" w:space="0" w:color="auto"/>
              <w:bottom w:val="single" w:sz="4" w:space="0" w:color="auto"/>
            </w:tcBorders>
          </w:tcPr>
          <w:p w:rsidR="00A5297C" w:rsidRPr="008D3945" w:rsidRDefault="00EE5865" w:rsidP="00EE5865">
            <w:pPr>
              <w:pStyle w:val="Odstavecseseznamem"/>
              <w:ind w:left="0"/>
              <w:jc w:val="center"/>
            </w:pPr>
            <w:r w:rsidRPr="008D3945">
              <w:t>Celkový objem pórů</w:t>
            </w:r>
          </w:p>
        </w:tc>
        <w:tc>
          <w:tcPr>
            <w:tcW w:w="1813" w:type="dxa"/>
            <w:tcBorders>
              <w:top w:val="single" w:sz="24" w:space="0" w:color="auto"/>
              <w:bottom w:val="single" w:sz="4" w:space="0" w:color="auto"/>
            </w:tcBorders>
          </w:tcPr>
          <w:p w:rsidR="00A5297C" w:rsidRPr="008D3945" w:rsidRDefault="00EE5865" w:rsidP="00F14524">
            <w:pPr>
              <w:pStyle w:val="Odstavecseseznamem"/>
              <w:ind w:left="0"/>
              <w:jc w:val="center"/>
            </w:pPr>
            <w:r w:rsidRPr="008D3945">
              <w:t>Průměrná absorpce</w:t>
            </w:r>
          </w:p>
        </w:tc>
      </w:tr>
      <w:tr w:rsidR="00EE5865" w:rsidRPr="008D3945" w:rsidTr="00F14524">
        <w:tc>
          <w:tcPr>
            <w:tcW w:w="1812" w:type="dxa"/>
            <w:tcBorders>
              <w:top w:val="single" w:sz="4" w:space="0" w:color="auto"/>
              <w:bottom w:val="single" w:sz="12" w:space="0" w:color="auto"/>
            </w:tcBorders>
          </w:tcPr>
          <w:p w:rsidR="00A5297C" w:rsidRPr="008D3945" w:rsidRDefault="00F14524" w:rsidP="00F14524">
            <w:pPr>
              <w:pStyle w:val="Odstavecseseznamem"/>
              <w:ind w:left="0"/>
              <w:jc w:val="center"/>
              <w:rPr>
                <w:i/>
              </w:rPr>
            </w:pPr>
            <w:r w:rsidRPr="008D3945">
              <w:rPr>
                <w:i/>
              </w:rPr>
              <w:t>k</w:t>
            </w:r>
          </w:p>
        </w:tc>
        <w:tc>
          <w:tcPr>
            <w:tcW w:w="1812" w:type="dxa"/>
            <w:tcBorders>
              <w:top w:val="single" w:sz="4" w:space="0" w:color="auto"/>
              <w:bottom w:val="single" w:sz="12" w:space="0" w:color="auto"/>
            </w:tcBorders>
          </w:tcPr>
          <w:p w:rsidR="00A5297C" w:rsidRPr="008D3945" w:rsidRDefault="00F14524" w:rsidP="00F14524">
            <w:pPr>
              <w:pStyle w:val="Odstavecseseznamem"/>
              <w:ind w:left="0"/>
              <w:jc w:val="center"/>
              <w:rPr>
                <w:i/>
                <w:vertAlign w:val="subscript"/>
              </w:rPr>
            </w:pPr>
            <w:r w:rsidRPr="008D3945">
              <w:rPr>
                <w:i/>
              </w:rPr>
              <w:t>C</w:t>
            </w:r>
            <w:r w:rsidRPr="008D3945">
              <w:rPr>
                <w:i/>
                <w:vertAlign w:val="subscript"/>
              </w:rPr>
              <w:t>k</w:t>
            </w:r>
          </w:p>
        </w:tc>
        <w:tc>
          <w:tcPr>
            <w:tcW w:w="1812" w:type="dxa"/>
            <w:tcBorders>
              <w:top w:val="single" w:sz="4" w:space="0" w:color="auto"/>
              <w:bottom w:val="single" w:sz="12" w:space="0" w:color="auto"/>
            </w:tcBorders>
          </w:tcPr>
          <w:p w:rsidR="00A5297C" w:rsidRPr="008D3945" w:rsidRDefault="00F14524" w:rsidP="00F14524">
            <w:pPr>
              <w:pStyle w:val="Odstavecseseznamem"/>
              <w:ind w:left="0"/>
              <w:jc w:val="center"/>
              <w:rPr>
                <w:i/>
                <w:vertAlign w:val="subscript"/>
              </w:rPr>
            </w:pPr>
            <w:r w:rsidRPr="008D3945">
              <w:rPr>
                <w:i/>
              </w:rPr>
              <w:t>N</w:t>
            </w:r>
            <w:r w:rsidRPr="008D3945">
              <w:rPr>
                <w:i/>
                <w:vertAlign w:val="subscript"/>
              </w:rPr>
              <w:t>k</w:t>
            </w:r>
          </w:p>
        </w:tc>
        <w:tc>
          <w:tcPr>
            <w:tcW w:w="1813" w:type="dxa"/>
            <w:tcBorders>
              <w:top w:val="single" w:sz="4" w:space="0" w:color="auto"/>
              <w:bottom w:val="single" w:sz="12" w:space="0" w:color="auto"/>
            </w:tcBorders>
          </w:tcPr>
          <w:p w:rsidR="00A5297C" w:rsidRPr="008D3945" w:rsidRDefault="00F14524" w:rsidP="00F14524">
            <w:pPr>
              <w:pStyle w:val="Odstavecseseznamem"/>
              <w:ind w:left="0"/>
              <w:jc w:val="center"/>
            </w:pPr>
            <w:r w:rsidRPr="008D3945">
              <w:rPr>
                <w:i/>
              </w:rPr>
              <w:t>V</w:t>
            </w:r>
            <w:r w:rsidRPr="008D3945">
              <w:rPr>
                <w:i/>
                <w:vertAlign w:val="subscript"/>
              </w:rPr>
              <w:t>k</w:t>
            </w:r>
            <w:r w:rsidR="00942E79" w:rsidRPr="008D3945">
              <w:t xml:space="preserve"> [μm</w:t>
            </w:r>
            <w:r w:rsidR="00942E79" w:rsidRPr="008D3945">
              <w:rPr>
                <w:vertAlign w:val="superscript"/>
              </w:rPr>
              <w:t>3</w:t>
            </w:r>
            <w:r w:rsidR="00942E79" w:rsidRPr="008D3945">
              <w:t>]</w:t>
            </w:r>
          </w:p>
        </w:tc>
        <w:tc>
          <w:tcPr>
            <w:tcW w:w="1813" w:type="dxa"/>
            <w:tcBorders>
              <w:top w:val="single" w:sz="4" w:space="0" w:color="auto"/>
              <w:bottom w:val="single" w:sz="12" w:space="0" w:color="auto"/>
            </w:tcBorders>
          </w:tcPr>
          <w:p w:rsidR="00A5297C" w:rsidRPr="008D3945" w:rsidRDefault="00F14524" w:rsidP="00F14524">
            <w:pPr>
              <w:pStyle w:val="Odstavecseseznamem"/>
              <w:ind w:left="0"/>
              <w:jc w:val="center"/>
              <w:rPr>
                <w:i/>
                <w:vertAlign w:val="subscript"/>
              </w:rPr>
            </w:pPr>
            <w:r w:rsidRPr="008D3945">
              <w:rPr>
                <w:i/>
              </w:rPr>
              <w:t>A</w:t>
            </w:r>
            <w:r w:rsidRPr="008D3945">
              <w:rPr>
                <w:i/>
                <w:vertAlign w:val="subscript"/>
              </w:rPr>
              <w:t>k</w:t>
            </w:r>
          </w:p>
        </w:tc>
      </w:tr>
      <w:tr w:rsidR="00EE5865" w:rsidRPr="008D3945" w:rsidTr="00F14524">
        <w:tc>
          <w:tcPr>
            <w:tcW w:w="1812" w:type="dxa"/>
            <w:tcBorders>
              <w:top w:val="single" w:sz="12" w:space="0" w:color="auto"/>
            </w:tcBorders>
          </w:tcPr>
          <w:p w:rsidR="00A5297C" w:rsidRPr="008D3945" w:rsidRDefault="00F14524" w:rsidP="00F14524">
            <w:pPr>
              <w:pStyle w:val="Odstavecseseznamem"/>
              <w:ind w:left="0"/>
              <w:jc w:val="center"/>
            </w:pPr>
            <w:r w:rsidRPr="008D3945">
              <w:t>1</w:t>
            </w:r>
          </w:p>
        </w:tc>
        <w:tc>
          <w:tcPr>
            <w:tcW w:w="1812" w:type="dxa"/>
            <w:tcBorders>
              <w:top w:val="single" w:sz="12" w:space="0" w:color="auto"/>
            </w:tcBorders>
          </w:tcPr>
          <w:p w:rsidR="00A5297C" w:rsidRPr="008D3945" w:rsidRDefault="00F14524" w:rsidP="00F14524">
            <w:pPr>
              <w:pStyle w:val="Odstavecseseznamem"/>
              <w:ind w:left="0"/>
              <w:jc w:val="center"/>
            </w:pPr>
            <w:r w:rsidRPr="008D3945">
              <w:t>10</w:t>
            </w:r>
          </w:p>
        </w:tc>
        <w:tc>
          <w:tcPr>
            <w:tcW w:w="1812" w:type="dxa"/>
            <w:tcBorders>
              <w:top w:val="single" w:sz="12" w:space="0" w:color="auto"/>
            </w:tcBorders>
          </w:tcPr>
          <w:p w:rsidR="00A5297C" w:rsidRPr="008D3945" w:rsidRDefault="00A5297C" w:rsidP="00F14524">
            <w:pPr>
              <w:pStyle w:val="Odstavecseseznamem"/>
              <w:ind w:left="0"/>
              <w:jc w:val="center"/>
            </w:pPr>
          </w:p>
        </w:tc>
        <w:tc>
          <w:tcPr>
            <w:tcW w:w="1813" w:type="dxa"/>
            <w:tcBorders>
              <w:top w:val="single" w:sz="12" w:space="0" w:color="auto"/>
            </w:tcBorders>
          </w:tcPr>
          <w:p w:rsidR="00A5297C" w:rsidRPr="008D3945" w:rsidRDefault="00A5297C" w:rsidP="00F14524">
            <w:pPr>
              <w:pStyle w:val="Odstavecseseznamem"/>
              <w:ind w:left="0"/>
              <w:jc w:val="center"/>
            </w:pPr>
          </w:p>
        </w:tc>
        <w:tc>
          <w:tcPr>
            <w:tcW w:w="1813" w:type="dxa"/>
            <w:tcBorders>
              <w:top w:val="single" w:sz="12" w:space="0" w:color="auto"/>
            </w:tcBorders>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2</w:t>
            </w:r>
          </w:p>
        </w:tc>
        <w:tc>
          <w:tcPr>
            <w:tcW w:w="1812" w:type="dxa"/>
          </w:tcPr>
          <w:p w:rsidR="00A5297C" w:rsidRPr="008D3945" w:rsidRDefault="00F14524" w:rsidP="00F14524">
            <w:pPr>
              <w:pStyle w:val="Odstavecseseznamem"/>
              <w:ind w:left="0"/>
              <w:jc w:val="center"/>
            </w:pPr>
            <w:r w:rsidRPr="008D3945">
              <w:t>32</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3</w:t>
            </w:r>
          </w:p>
        </w:tc>
        <w:tc>
          <w:tcPr>
            <w:tcW w:w="1812" w:type="dxa"/>
          </w:tcPr>
          <w:p w:rsidR="00A5297C" w:rsidRPr="008D3945" w:rsidRDefault="00F14524" w:rsidP="00F14524">
            <w:pPr>
              <w:pStyle w:val="Odstavecseseznamem"/>
              <w:ind w:left="0"/>
              <w:jc w:val="center"/>
            </w:pPr>
            <w:r w:rsidRPr="008D3945">
              <w:t>100</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4</w:t>
            </w:r>
          </w:p>
        </w:tc>
        <w:tc>
          <w:tcPr>
            <w:tcW w:w="1812" w:type="dxa"/>
          </w:tcPr>
          <w:p w:rsidR="00A5297C" w:rsidRPr="008D3945" w:rsidRDefault="00F14524" w:rsidP="00F14524">
            <w:pPr>
              <w:pStyle w:val="Odstavecseseznamem"/>
              <w:ind w:left="0"/>
              <w:jc w:val="center"/>
            </w:pPr>
            <w:r w:rsidRPr="008D3945">
              <w:t>317</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5</w:t>
            </w:r>
          </w:p>
        </w:tc>
        <w:tc>
          <w:tcPr>
            <w:tcW w:w="1812" w:type="dxa"/>
          </w:tcPr>
          <w:p w:rsidR="00A5297C" w:rsidRPr="008D3945" w:rsidRDefault="00F14524" w:rsidP="00F14524">
            <w:pPr>
              <w:pStyle w:val="Odstavecseseznamem"/>
              <w:ind w:left="0"/>
              <w:jc w:val="center"/>
            </w:pPr>
            <w:r w:rsidRPr="008D3945">
              <w:t>1000</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6</w:t>
            </w:r>
          </w:p>
        </w:tc>
        <w:tc>
          <w:tcPr>
            <w:tcW w:w="1812" w:type="dxa"/>
          </w:tcPr>
          <w:p w:rsidR="00A5297C" w:rsidRPr="008D3945" w:rsidRDefault="00F14524" w:rsidP="00F14524">
            <w:pPr>
              <w:pStyle w:val="Odstavecseseznamem"/>
              <w:ind w:left="0"/>
              <w:jc w:val="center"/>
            </w:pPr>
            <w:r w:rsidRPr="008D3945">
              <w:t>3163</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7</w:t>
            </w:r>
          </w:p>
        </w:tc>
        <w:tc>
          <w:tcPr>
            <w:tcW w:w="1812" w:type="dxa"/>
          </w:tcPr>
          <w:p w:rsidR="00A5297C" w:rsidRPr="008D3945" w:rsidRDefault="00F14524" w:rsidP="00F14524">
            <w:pPr>
              <w:pStyle w:val="Odstavecseseznamem"/>
              <w:ind w:left="0"/>
              <w:jc w:val="center"/>
            </w:pPr>
            <w:r w:rsidRPr="008D3945">
              <w:t>10000</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8</w:t>
            </w:r>
          </w:p>
        </w:tc>
        <w:tc>
          <w:tcPr>
            <w:tcW w:w="1812" w:type="dxa"/>
          </w:tcPr>
          <w:p w:rsidR="00A5297C" w:rsidRPr="008D3945" w:rsidRDefault="00F14524" w:rsidP="00F14524">
            <w:pPr>
              <w:pStyle w:val="Odstavecseseznamem"/>
              <w:ind w:left="0"/>
              <w:jc w:val="center"/>
            </w:pPr>
            <w:r w:rsidRPr="008D3945">
              <w:t>31623</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9</w:t>
            </w:r>
          </w:p>
        </w:tc>
        <w:tc>
          <w:tcPr>
            <w:tcW w:w="1812" w:type="dxa"/>
          </w:tcPr>
          <w:p w:rsidR="00A5297C" w:rsidRPr="008D3945" w:rsidRDefault="00F14524" w:rsidP="00F14524">
            <w:pPr>
              <w:pStyle w:val="Odstavecseseznamem"/>
              <w:ind w:left="0"/>
              <w:jc w:val="center"/>
            </w:pPr>
            <w:r w:rsidRPr="008D3945">
              <w:t>100000</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r w:rsidR="00EE5865" w:rsidRPr="008D3945" w:rsidTr="00F14524">
        <w:tc>
          <w:tcPr>
            <w:tcW w:w="1812" w:type="dxa"/>
          </w:tcPr>
          <w:p w:rsidR="00A5297C" w:rsidRPr="008D3945" w:rsidRDefault="00F14524" w:rsidP="00F14524">
            <w:pPr>
              <w:pStyle w:val="Odstavecseseznamem"/>
              <w:ind w:left="0"/>
              <w:jc w:val="center"/>
            </w:pPr>
            <w:r w:rsidRPr="008D3945">
              <w:t>10</w:t>
            </w:r>
          </w:p>
        </w:tc>
        <w:tc>
          <w:tcPr>
            <w:tcW w:w="1812" w:type="dxa"/>
          </w:tcPr>
          <w:p w:rsidR="00A5297C" w:rsidRPr="008D3945" w:rsidRDefault="00F14524" w:rsidP="00F14524">
            <w:pPr>
              <w:pStyle w:val="Odstavecseseznamem"/>
              <w:ind w:left="0"/>
              <w:jc w:val="center"/>
            </w:pPr>
            <w:r w:rsidRPr="008D3945">
              <w:t>316228</w:t>
            </w:r>
          </w:p>
        </w:tc>
        <w:tc>
          <w:tcPr>
            <w:tcW w:w="1812"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c>
          <w:tcPr>
            <w:tcW w:w="1813" w:type="dxa"/>
          </w:tcPr>
          <w:p w:rsidR="00A5297C" w:rsidRPr="008D3945" w:rsidRDefault="00A5297C" w:rsidP="00F14524">
            <w:pPr>
              <w:pStyle w:val="Odstavecseseznamem"/>
              <w:ind w:left="0"/>
              <w:jc w:val="center"/>
            </w:pPr>
          </w:p>
        </w:tc>
      </w:tr>
    </w:tbl>
    <w:p w:rsidR="00436D9E" w:rsidRPr="008D3945" w:rsidRDefault="00F14524" w:rsidP="00436D9E">
      <w:pPr>
        <w:pStyle w:val="Odstavecseseznamem"/>
        <w:ind w:left="426"/>
      </w:pPr>
      <w:r w:rsidRPr="008D3945">
        <w:t xml:space="preserve">Tabulka 1: velikostní třídy pórů podle </w:t>
      </w:r>
      <w:r w:rsidR="00BF2012" w:rsidRPr="008D3945">
        <w:t xml:space="preserve">jejich minimálního </w:t>
      </w:r>
      <w:r w:rsidRPr="008D3945">
        <w:t>počtu voxelů</w:t>
      </w:r>
      <w:r w:rsidR="00942E79" w:rsidRPr="008D3945">
        <w:t>, C</w:t>
      </w:r>
      <w:r w:rsidR="00942E79" w:rsidRPr="008D3945">
        <w:rPr>
          <w:vertAlign w:val="subscript"/>
        </w:rPr>
        <w:t>k</w:t>
      </w:r>
      <w:r w:rsidR="009F3C18" w:rsidRPr="008D3945">
        <w:t>≥</w:t>
      </w:r>
      <w:r w:rsidR="00942E79" w:rsidRPr="008D3945">
        <w:t>10</w:t>
      </w:r>
      <w:r w:rsidR="00942E79" w:rsidRPr="008D3945">
        <w:rPr>
          <w:vertAlign w:val="superscript"/>
        </w:rPr>
        <w:t>(1/2+k/2)</w:t>
      </w:r>
    </w:p>
    <w:p w:rsidR="00F14524" w:rsidRPr="008D3945" w:rsidRDefault="00F14524" w:rsidP="00436D9E">
      <w:pPr>
        <w:pStyle w:val="Odstavecseseznamem"/>
        <w:ind w:left="426"/>
      </w:pPr>
    </w:p>
    <w:p w:rsidR="00436D9E" w:rsidRPr="008D3945" w:rsidRDefault="00436D9E" w:rsidP="000A2D96">
      <w:pPr>
        <w:pStyle w:val="Odstavecseseznamem"/>
        <w:numPr>
          <w:ilvl w:val="0"/>
          <w:numId w:val="2"/>
        </w:numPr>
        <w:ind w:left="426" w:hanging="426"/>
      </w:pPr>
      <w:r w:rsidRPr="008D3945">
        <w:t xml:space="preserve">Z těchto dat se spočte efektivní prostorové rozlišení </w:t>
      </w:r>
      <w:r w:rsidRPr="008D3945">
        <w:rPr>
          <w:i/>
        </w:rPr>
        <w:t>R</w:t>
      </w:r>
      <w:r w:rsidRPr="008D3945">
        <w:t xml:space="preserve"> </w:t>
      </w:r>
      <w:r w:rsidR="00A5297C" w:rsidRPr="008D3945">
        <w:t>v mi</w:t>
      </w:r>
      <w:r w:rsidR="00E53148" w:rsidRPr="008D3945">
        <w:t>kro</w:t>
      </w:r>
      <w:r w:rsidR="00A5297C" w:rsidRPr="008D3945">
        <w:t xml:space="preserve">metrech </w:t>
      </w:r>
      <w:r w:rsidRPr="008D3945">
        <w:t>dle následujícího předpisu:</w:t>
      </w:r>
    </w:p>
    <w:p w:rsidR="00436D9E" w:rsidRPr="008D3945" w:rsidRDefault="00741877" w:rsidP="00A5297C">
      <w:pPr>
        <w:jc w:val="center"/>
        <w:rPr>
          <w:rFonts w:eastAsiaTheme="minorEastAsia"/>
        </w:rPr>
      </w:pPr>
      <m:oMath>
        <m:r>
          <w:rPr>
            <w:rFonts w:ascii="Cambria Math" w:hAnsi="Cambria Math"/>
          </w:rPr>
          <m:t>R=</m:t>
        </m:r>
        <m:rad>
          <m:radPr>
            <m:ctrlPr>
              <w:rPr>
                <w:rFonts w:ascii="Cambria Math" w:hAnsi="Cambria Math"/>
                <w:i/>
              </w:rPr>
            </m:ctrlPr>
          </m:radPr>
          <m:deg>
            <m:r>
              <w:rPr>
                <w:rFonts w:ascii="Cambria Math" w:hAnsi="Cambria Math"/>
              </w:rPr>
              <m:t>3</m:t>
            </m: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k=1</m:t>
                    </m:r>
                  </m:sub>
                  <m:sup>
                    <m:r>
                      <w:rPr>
                        <w:rFonts w:ascii="Cambria Math" w:hAnsi="Cambria Math"/>
                      </w:rPr>
                      <m:t>9</m:t>
                    </m:r>
                  </m:sup>
                  <m:e>
                    <m:sSub>
                      <m:sSubPr>
                        <m:ctrlPr>
                          <w:rPr>
                            <w:rFonts w:ascii="Cambria Math" w:hAnsi="Cambria Math"/>
                            <w:i/>
                          </w:rPr>
                        </m:ctrlPr>
                      </m:sSubPr>
                      <m:e>
                        <m:r>
                          <w:rPr>
                            <w:rFonts w:ascii="Cambria Math" w:hAnsi="Cambria Math"/>
                          </w:rPr>
                          <m:t>G</m:t>
                        </m:r>
                      </m:e>
                      <m:sub>
                        <m:r>
                          <w:rPr>
                            <w:rFonts w:ascii="Cambria Math" w:hAnsi="Cambria Math"/>
                          </w:rPr>
                          <m:t>k</m:t>
                        </m:r>
                      </m:sub>
                    </m:sSub>
                    <m:sSub>
                      <m:sSubPr>
                        <m:ctrlPr>
                          <w:rPr>
                            <w:rFonts w:ascii="Cambria Math" w:hAnsi="Cambria Math"/>
                            <w:i/>
                          </w:rPr>
                        </m:ctrlPr>
                      </m:sSubPr>
                      <m:e>
                        <m:r>
                          <w:rPr>
                            <w:rFonts w:ascii="Cambria Math" w:hAnsi="Cambria Math"/>
                          </w:rPr>
                          <m:t>V</m:t>
                        </m:r>
                      </m:e>
                      <m:sub>
                        <m:r>
                          <w:rPr>
                            <w:rFonts w:ascii="Cambria Math" w:hAnsi="Cambria Math"/>
                          </w:rPr>
                          <m:t>k</m:t>
                        </m:r>
                      </m:sub>
                    </m:sSub>
                  </m:e>
                </m:nary>
              </m:num>
              <m:den>
                <m:nary>
                  <m:naryPr>
                    <m:chr m:val="∑"/>
                    <m:limLoc m:val="undOvr"/>
                    <m:ctrlPr>
                      <w:rPr>
                        <w:rFonts w:ascii="Cambria Math" w:hAnsi="Cambria Math"/>
                        <w:i/>
                      </w:rPr>
                    </m:ctrlPr>
                  </m:naryPr>
                  <m:sub>
                    <m:r>
                      <w:rPr>
                        <w:rFonts w:ascii="Cambria Math" w:hAnsi="Cambria Math"/>
                      </w:rPr>
                      <m:t>k=1</m:t>
                    </m:r>
                  </m:sub>
                  <m:sup>
                    <m:r>
                      <w:rPr>
                        <w:rFonts w:ascii="Cambria Math" w:hAnsi="Cambria Math"/>
                      </w:rPr>
                      <m:t>9</m:t>
                    </m:r>
                  </m:sup>
                  <m:e>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k+1</m:t>
                        </m:r>
                      </m:sub>
                    </m:sSub>
                    <m:r>
                      <w:rPr>
                        <w:rFonts w:ascii="Cambria Math" w:hAnsi="Cambria Math"/>
                      </w:rPr>
                      <m:t>)</m:t>
                    </m:r>
                  </m:e>
                </m:nary>
              </m:den>
            </m:f>
          </m:e>
        </m:rad>
      </m:oMath>
      <w:r w:rsidR="00A5297C" w:rsidRPr="008D3945">
        <w:rPr>
          <w:rFonts w:eastAsiaTheme="minorEastAsia"/>
        </w:rPr>
        <w:t>,</w:t>
      </w:r>
    </w:p>
    <w:p w:rsidR="00E8331C" w:rsidRPr="008D3945" w:rsidRDefault="002D3967" w:rsidP="00436D9E">
      <w:pPr>
        <w:rPr>
          <w:rFonts w:eastAsiaTheme="minorEastAsia"/>
        </w:rPr>
      </w:pPr>
      <w:r w:rsidRPr="008D3945">
        <w:rPr>
          <w:rFonts w:eastAsiaTheme="minorEastAsia"/>
        </w:rPr>
        <w:t>k</w:t>
      </w:r>
      <w:r w:rsidR="00E8331C" w:rsidRPr="008D3945">
        <w:rPr>
          <w:rFonts w:eastAsiaTheme="minorEastAsia"/>
        </w:rPr>
        <w:t>de</w:t>
      </w:r>
      <w:r w:rsidR="0085661E" w:rsidRPr="008D3945">
        <w:rPr>
          <w:rFonts w:eastAsiaTheme="minorEastAsia"/>
        </w:rPr>
        <w:t xml:space="preserve"> kontrast</w:t>
      </w:r>
      <w:r w:rsidR="00E8331C" w:rsidRPr="008D394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k</m:t>
            </m:r>
          </m:sub>
        </m:sSub>
        <m:r>
          <w:rPr>
            <w:rFonts w:ascii="Cambria Math" w:eastAsiaTheme="minorEastAsia"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k</m:t>
                </m:r>
              </m:sub>
            </m:sSub>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k+1</m:t>
                </m:r>
              </m:sub>
            </m:sSub>
            <m:sSub>
              <m:sSubPr>
                <m:ctrlPr>
                  <w:rPr>
                    <w:rFonts w:ascii="Cambria Math" w:hAnsi="Cambria Math"/>
                    <w:i/>
                  </w:rPr>
                </m:ctrlPr>
              </m:sSubPr>
              <m:e>
                <m:r>
                  <w:rPr>
                    <w:rFonts w:ascii="Cambria Math" w:hAnsi="Cambria Math"/>
                  </w:rPr>
                  <m:t>V</m:t>
                </m:r>
              </m:e>
              <m:sub>
                <m:r>
                  <w:rPr>
                    <w:rFonts w:ascii="Cambria Math" w:hAnsi="Cambria Math"/>
                  </w:rPr>
                  <m:t>k+1</m:t>
                </m:r>
              </m:sub>
            </m:sSub>
          </m:num>
          <m:den>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k+1</m:t>
                </m:r>
              </m:sub>
            </m:sSub>
          </m:den>
        </m:f>
      </m:oMath>
      <w:r w:rsidR="0073757A" w:rsidRPr="008D3945">
        <w:rPr>
          <w:rFonts w:eastAsiaTheme="minorEastAsia"/>
        </w:rPr>
        <w:t>.</w:t>
      </w:r>
      <w:r w:rsidR="00AC5DCE" w:rsidRPr="008D3945">
        <w:rPr>
          <w:rFonts w:eastAsiaTheme="minorEastAsia"/>
        </w:rPr>
        <w:t xml:space="preserve"> Pokud pro některé </w:t>
      </w:r>
      <w:r w:rsidR="00AC5DCE" w:rsidRPr="008D3945">
        <w:rPr>
          <w:rFonts w:eastAsiaTheme="minorEastAsia"/>
          <w:i/>
        </w:rPr>
        <w:t>k</w:t>
      </w:r>
      <w:r w:rsidR="00AC5DCE" w:rsidRPr="008D3945">
        <w:rPr>
          <w:rFonts w:eastAsiaTheme="minorEastAsia"/>
        </w:rPr>
        <w:t xml:space="preserve"> platí, že </w:t>
      </w:r>
      <w:r w:rsidR="00AC5DCE" w:rsidRPr="008D3945">
        <w:rPr>
          <w:rFonts w:eastAsiaTheme="minorEastAsia"/>
          <w:i/>
        </w:rPr>
        <w:t>V</w:t>
      </w:r>
      <w:r w:rsidR="00AC5DCE" w:rsidRPr="008D3945">
        <w:rPr>
          <w:rFonts w:eastAsiaTheme="minorEastAsia"/>
          <w:i/>
          <w:vertAlign w:val="subscript"/>
        </w:rPr>
        <w:t>k</w:t>
      </w:r>
      <w:r w:rsidR="00AC5DCE" w:rsidRPr="008D3945">
        <w:rPr>
          <w:rFonts w:eastAsiaTheme="minorEastAsia"/>
        </w:rPr>
        <w:t>=</w:t>
      </w:r>
      <w:r w:rsidR="00AC5DCE" w:rsidRPr="008D3945">
        <w:rPr>
          <w:rFonts w:eastAsiaTheme="minorEastAsia"/>
          <w:i/>
        </w:rPr>
        <w:t>V</w:t>
      </w:r>
      <w:r w:rsidR="00AC5DCE" w:rsidRPr="008D3945">
        <w:rPr>
          <w:rFonts w:eastAsiaTheme="minorEastAsia"/>
          <w:i/>
          <w:vertAlign w:val="subscript"/>
        </w:rPr>
        <w:t>k</w:t>
      </w:r>
      <w:r w:rsidR="00AC5DCE" w:rsidRPr="008D3945">
        <w:rPr>
          <w:rFonts w:eastAsiaTheme="minorEastAsia"/>
          <w:vertAlign w:val="subscript"/>
        </w:rPr>
        <w:t>+1</w:t>
      </w:r>
      <w:r w:rsidR="00AC5DCE" w:rsidRPr="008D3945">
        <w:rPr>
          <w:rFonts w:eastAsiaTheme="minorEastAsia"/>
        </w:rPr>
        <w:t xml:space="preserve">, dosadí se za </w:t>
      </w:r>
      <w:r w:rsidR="00AC5DCE" w:rsidRPr="008D3945">
        <w:rPr>
          <w:rFonts w:eastAsiaTheme="minorEastAsia"/>
          <w:i/>
        </w:rPr>
        <w:t>G</w:t>
      </w:r>
      <w:r w:rsidR="00AC5DCE" w:rsidRPr="008D3945">
        <w:rPr>
          <w:rFonts w:eastAsiaTheme="minorEastAsia"/>
          <w:i/>
          <w:vertAlign w:val="subscript"/>
        </w:rPr>
        <w:t>k</w:t>
      </w:r>
      <w:r w:rsidR="00AC5DCE" w:rsidRPr="008D3945">
        <w:rPr>
          <w:rFonts w:eastAsiaTheme="minorEastAsia"/>
        </w:rPr>
        <w:t xml:space="preserve"> hodnota </w:t>
      </w:r>
      <w:r w:rsidR="00AC5DCE" w:rsidRPr="008D3945">
        <w:rPr>
          <w:rFonts w:eastAsiaTheme="minorEastAsia"/>
          <w:i/>
        </w:rPr>
        <w:t>G</w:t>
      </w:r>
      <w:r w:rsidR="00AC5DCE" w:rsidRPr="008D3945">
        <w:rPr>
          <w:rFonts w:eastAsiaTheme="minorEastAsia"/>
          <w:i/>
          <w:vertAlign w:val="subscript"/>
        </w:rPr>
        <w:t>k</w:t>
      </w:r>
      <w:r w:rsidR="00AC5DCE" w:rsidRPr="008D3945">
        <w:rPr>
          <w:rFonts w:eastAsiaTheme="minorEastAsia"/>
          <w:vertAlign w:val="subscript"/>
        </w:rPr>
        <w:t>-1</w:t>
      </w:r>
      <w:r w:rsidR="00AC5DCE" w:rsidRPr="008D3945">
        <w:rPr>
          <w:rFonts w:eastAsiaTheme="minorEastAsia"/>
        </w:rPr>
        <w:t>.</w:t>
      </w:r>
    </w:p>
    <w:p w:rsidR="008355C9" w:rsidRPr="008D3945" w:rsidRDefault="00942E79" w:rsidP="008355C9">
      <w:r w:rsidRPr="008D3945">
        <w:rPr>
          <w:rFonts w:eastAsiaTheme="minorEastAsia"/>
        </w:rPr>
        <w:t xml:space="preserve">Dodavatel buďto doplní Tabulku 1 </w:t>
      </w:r>
      <w:r w:rsidR="00F66FDC" w:rsidRPr="008D3945">
        <w:rPr>
          <w:rFonts w:eastAsiaTheme="minorEastAsia"/>
        </w:rPr>
        <w:t xml:space="preserve">a uvede hodnoty </w:t>
      </w:r>
      <w:r w:rsidR="00F66FDC" w:rsidRPr="008D3945">
        <w:rPr>
          <w:rFonts w:eastAsiaTheme="minorEastAsia"/>
          <w:i/>
        </w:rPr>
        <w:t>A</w:t>
      </w:r>
      <w:r w:rsidR="00F66FDC" w:rsidRPr="008D3945">
        <w:rPr>
          <w:rFonts w:eastAsiaTheme="minorEastAsia"/>
          <w:vertAlign w:val="subscript"/>
        </w:rPr>
        <w:t>0</w:t>
      </w:r>
      <w:r w:rsidR="00F66FDC" w:rsidRPr="008D3945">
        <w:rPr>
          <w:rFonts w:eastAsiaTheme="minorEastAsia"/>
        </w:rPr>
        <w:t xml:space="preserve"> a </w:t>
      </w:r>
      <w:r w:rsidR="00F66FDC" w:rsidRPr="008D3945">
        <w:rPr>
          <w:rFonts w:eastAsiaTheme="minorEastAsia"/>
          <w:i/>
        </w:rPr>
        <w:t>V</w:t>
      </w:r>
      <w:r w:rsidR="00F66FDC" w:rsidRPr="008D3945">
        <w:rPr>
          <w:rFonts w:eastAsiaTheme="minorEastAsia"/>
          <w:vertAlign w:val="subscript"/>
        </w:rPr>
        <w:t>0</w:t>
      </w:r>
      <w:r w:rsidR="00F66FDC" w:rsidRPr="008D3945">
        <w:rPr>
          <w:rFonts w:eastAsiaTheme="minorEastAsia"/>
        </w:rPr>
        <w:t xml:space="preserve"> </w:t>
      </w:r>
      <w:r w:rsidRPr="008D3945">
        <w:rPr>
          <w:rFonts w:eastAsiaTheme="minorEastAsia"/>
        </w:rPr>
        <w:t>s</w:t>
      </w:r>
      <w:r w:rsidR="00A80262" w:rsidRPr="008D3945">
        <w:rPr>
          <w:rFonts w:eastAsiaTheme="minorEastAsia"/>
        </w:rPr>
        <w:t> </w:t>
      </w:r>
      <w:r w:rsidRPr="008D3945">
        <w:rPr>
          <w:rFonts w:eastAsiaTheme="minorEastAsia"/>
        </w:rPr>
        <w:t>tím</w:t>
      </w:r>
      <w:r w:rsidR="00A80262" w:rsidRPr="008D3945">
        <w:rPr>
          <w:rFonts w:eastAsiaTheme="minorEastAsia"/>
        </w:rPr>
        <w:t>,</w:t>
      </w:r>
      <w:r w:rsidRPr="008D3945">
        <w:rPr>
          <w:rFonts w:eastAsiaTheme="minorEastAsia"/>
        </w:rPr>
        <w:t xml:space="preserve"> že hodnoty </w:t>
      </w:r>
      <w:r w:rsidRPr="008D3945">
        <w:rPr>
          <w:rFonts w:eastAsiaTheme="minorEastAsia"/>
          <w:i/>
        </w:rPr>
        <w:t>V</w:t>
      </w:r>
      <w:r w:rsidRPr="008D3945">
        <w:rPr>
          <w:rFonts w:eastAsiaTheme="minorEastAsia"/>
          <w:vertAlign w:val="subscript"/>
        </w:rPr>
        <w:t>k</w:t>
      </w:r>
      <w:r w:rsidRPr="008D3945">
        <w:rPr>
          <w:rFonts w:eastAsiaTheme="minorEastAsia"/>
        </w:rPr>
        <w:t xml:space="preserve"> se vyplňují v celých mikrometrech krychlových, a výpočet hodnoty </w:t>
      </w:r>
      <w:r w:rsidRPr="008D3945">
        <w:rPr>
          <w:rFonts w:eastAsiaTheme="minorEastAsia"/>
          <w:i/>
        </w:rPr>
        <w:t>R</w:t>
      </w:r>
      <w:r w:rsidRPr="008D3945">
        <w:rPr>
          <w:rFonts w:eastAsiaTheme="minorEastAsia"/>
        </w:rPr>
        <w:t xml:space="preserve"> přenechá zadavateli, nebo vyplní tabulku</w:t>
      </w:r>
      <w:r w:rsidR="00F66FDC" w:rsidRPr="008D3945">
        <w:rPr>
          <w:rFonts w:eastAsiaTheme="minorEastAsia"/>
        </w:rPr>
        <w:t xml:space="preserve">, uvede hodnoty </w:t>
      </w:r>
      <w:r w:rsidR="00F66FDC" w:rsidRPr="008D3945">
        <w:rPr>
          <w:rFonts w:eastAsiaTheme="minorEastAsia"/>
          <w:i/>
        </w:rPr>
        <w:t>A</w:t>
      </w:r>
      <w:r w:rsidR="00F66FDC" w:rsidRPr="008D3945">
        <w:rPr>
          <w:rFonts w:eastAsiaTheme="minorEastAsia"/>
          <w:vertAlign w:val="subscript"/>
        </w:rPr>
        <w:t>0</w:t>
      </w:r>
      <w:r w:rsidR="00F66FDC" w:rsidRPr="008D3945">
        <w:rPr>
          <w:rFonts w:eastAsiaTheme="minorEastAsia"/>
        </w:rPr>
        <w:t xml:space="preserve"> a </w:t>
      </w:r>
      <w:r w:rsidR="00F66FDC" w:rsidRPr="008D3945">
        <w:rPr>
          <w:rFonts w:eastAsiaTheme="minorEastAsia"/>
          <w:i/>
        </w:rPr>
        <w:t>V</w:t>
      </w:r>
      <w:r w:rsidR="00F66FDC" w:rsidRPr="008D3945">
        <w:rPr>
          <w:rFonts w:eastAsiaTheme="minorEastAsia"/>
          <w:vertAlign w:val="subscript"/>
        </w:rPr>
        <w:t>0</w:t>
      </w:r>
      <w:r w:rsidRPr="008D3945">
        <w:rPr>
          <w:rFonts w:eastAsiaTheme="minorEastAsia"/>
        </w:rPr>
        <w:t xml:space="preserve"> a vypočte hodnotu </w:t>
      </w:r>
      <w:r w:rsidRPr="008D3945">
        <w:rPr>
          <w:rFonts w:eastAsiaTheme="minorEastAsia"/>
          <w:i/>
        </w:rPr>
        <w:t>R</w:t>
      </w:r>
      <w:r w:rsidRPr="008D3945">
        <w:rPr>
          <w:rFonts w:eastAsiaTheme="minorEastAsia"/>
        </w:rPr>
        <w:t xml:space="preserve"> v mikrometrech, výsledek uvede na 2 desetinná místa, přičemž pak se za závaznou hodnotu považuje hodnota </w:t>
      </w:r>
      <w:r w:rsidRPr="008D3945">
        <w:rPr>
          <w:rFonts w:eastAsiaTheme="minorEastAsia"/>
          <w:i/>
        </w:rPr>
        <w:t>R</w:t>
      </w:r>
      <w:r w:rsidRPr="008D3945">
        <w:rPr>
          <w:rFonts w:eastAsiaTheme="minorEastAsia"/>
        </w:rPr>
        <w:t xml:space="preserve"> vyplněná dodavatelem, pakliže zadavatel neshledá v jejím výpočtu zásadní chybu</w:t>
      </w:r>
      <w:r w:rsidRPr="008E2605">
        <w:rPr>
          <w:rFonts w:eastAsiaTheme="minorEastAsia"/>
        </w:rPr>
        <w:t>.</w:t>
      </w:r>
      <w:r w:rsidR="008355C9" w:rsidRPr="008E2605">
        <w:rPr>
          <w:rFonts w:eastAsiaTheme="minorEastAsia"/>
        </w:rPr>
        <w:t xml:space="preserve"> Dodavatel může záměrně udat vyšší hodnotu </w:t>
      </w:r>
      <w:r w:rsidR="008355C9" w:rsidRPr="008E2605">
        <w:rPr>
          <w:rFonts w:eastAsiaTheme="minorEastAsia"/>
          <w:i/>
        </w:rPr>
        <w:t>R</w:t>
      </w:r>
      <w:r w:rsidR="008355C9" w:rsidRPr="008E2605">
        <w:rPr>
          <w:rFonts w:eastAsiaTheme="minorEastAsia"/>
        </w:rPr>
        <w:t>, než by odpovídala tabulce, pokud si není jist reproduk</w:t>
      </w:r>
      <w:r w:rsidR="00B70F08" w:rsidRPr="008E2605">
        <w:rPr>
          <w:rFonts w:eastAsiaTheme="minorEastAsia"/>
        </w:rPr>
        <w:t>o</w:t>
      </w:r>
      <w:r w:rsidR="008355C9" w:rsidRPr="008E2605">
        <w:rPr>
          <w:rFonts w:eastAsiaTheme="minorEastAsia"/>
        </w:rPr>
        <w:t>vatelností výsledků v rámci přijatelné tolerance (viz níže)</w:t>
      </w:r>
      <w:r w:rsidR="00B70F08" w:rsidRPr="008E2605">
        <w:rPr>
          <w:rFonts w:eastAsiaTheme="minorEastAsia"/>
        </w:rPr>
        <w:t>.</w:t>
      </w:r>
    </w:p>
    <w:p w:rsidR="00942E79" w:rsidRPr="008D3945" w:rsidRDefault="00942E79" w:rsidP="00436D9E"/>
    <w:p w:rsidR="00436D9E" w:rsidRPr="008D3945" w:rsidRDefault="00630D4E" w:rsidP="00436D9E">
      <w:r w:rsidRPr="008D3945">
        <w:lastRenderedPageBreak/>
        <w:t xml:space="preserve">Hodnoty </w:t>
      </w:r>
      <w:r w:rsidRPr="008D3945">
        <w:rPr>
          <w:i/>
        </w:rPr>
        <w:t>T</w:t>
      </w:r>
      <w:r w:rsidRPr="008D3945">
        <w:rPr>
          <w:i/>
          <w:vertAlign w:val="subscript"/>
        </w:rPr>
        <w:t>m</w:t>
      </w:r>
      <w:r w:rsidRPr="008D3945">
        <w:t xml:space="preserve"> a </w:t>
      </w:r>
      <w:r w:rsidRPr="008D3945">
        <w:rPr>
          <w:i/>
        </w:rPr>
        <w:t>T</w:t>
      </w:r>
      <w:r w:rsidRPr="008D3945">
        <w:rPr>
          <w:i/>
          <w:vertAlign w:val="subscript"/>
        </w:rPr>
        <w:t>r</w:t>
      </w:r>
      <w:r w:rsidRPr="008D3945">
        <w:t xml:space="preserve"> jsou považovány za závazné a budou ověřovány při předání přístroje, přičemž na provedení měření a rekonstrukce nesmí být potřeba čas delší než 1,1-násobek uvedených ho</w:t>
      </w:r>
      <w:r w:rsidR="00A80262" w:rsidRPr="008D3945">
        <w:t>d</w:t>
      </w:r>
      <w:r w:rsidRPr="008D3945">
        <w:t xml:space="preserve">not. </w:t>
      </w:r>
      <w:r w:rsidR="00BA37CA" w:rsidRPr="008D3945">
        <w:t xml:space="preserve">To je mezní přípustná odchylka hodnot, která se považuje za odpovídající deklarovaným hodnotám. </w:t>
      </w:r>
      <w:r w:rsidRPr="008D3945">
        <w:t>Pokud dodavatel nemá při měření k dispozici vybavení přesně odpovídající předmětu dodávky, může tyto hodnoty odhadnout s tím, že odhad musí být natolik konzervativní, aby výše uvedenou podmínku bylo možno splnit.</w:t>
      </w:r>
    </w:p>
    <w:p w:rsidR="00630D4E" w:rsidRPr="008D3945" w:rsidRDefault="00630D4E" w:rsidP="00436D9E">
      <w:r w:rsidRPr="008D3945">
        <w:t xml:space="preserve">Hodnoty </w:t>
      </w:r>
      <w:r w:rsidRPr="008D3945">
        <w:rPr>
          <w:i/>
        </w:rPr>
        <w:t>X</w:t>
      </w:r>
      <w:r w:rsidRPr="008D3945">
        <w:rPr>
          <w:i/>
          <w:vertAlign w:val="subscript"/>
        </w:rPr>
        <w:t>r</w:t>
      </w:r>
      <w:r w:rsidRPr="008D3945">
        <w:t xml:space="preserve">, </w:t>
      </w:r>
      <w:r w:rsidRPr="008D3945">
        <w:rPr>
          <w:i/>
        </w:rPr>
        <w:t>Y</w:t>
      </w:r>
      <w:r w:rsidRPr="008D3945">
        <w:rPr>
          <w:i/>
          <w:vertAlign w:val="subscript"/>
        </w:rPr>
        <w:t>r</w:t>
      </w:r>
      <w:r w:rsidRPr="008D3945">
        <w:t xml:space="preserve">, </w:t>
      </w:r>
      <w:r w:rsidRPr="008D3945">
        <w:rPr>
          <w:i/>
        </w:rPr>
        <w:t>Z</w:t>
      </w:r>
      <w:r w:rsidRPr="008D3945">
        <w:rPr>
          <w:i/>
          <w:vertAlign w:val="subscript"/>
        </w:rPr>
        <w:t>r</w:t>
      </w:r>
      <w:r w:rsidRPr="008D3945">
        <w:t xml:space="preserve"> a </w:t>
      </w:r>
      <w:r w:rsidRPr="008D3945">
        <w:rPr>
          <w:i/>
        </w:rPr>
        <w:t>V</w:t>
      </w:r>
      <w:r w:rsidRPr="008D3945">
        <w:rPr>
          <w:i/>
          <w:vertAlign w:val="subscript"/>
        </w:rPr>
        <w:t>x</w:t>
      </w:r>
      <w:r w:rsidRPr="008D3945">
        <w:t xml:space="preserve"> jsou směrné a dodavatel musí při ověření nastavit takové podmínky experimentu, aby jich mohl dosáhnout s přesností ±10% z uvedený</w:t>
      </w:r>
      <w:r w:rsidR="00EE5865" w:rsidRPr="008D3945">
        <w:t>c</w:t>
      </w:r>
      <w:r w:rsidRPr="008D3945">
        <w:t>h hodnot.</w:t>
      </w:r>
    </w:p>
    <w:p w:rsidR="00BA37CA" w:rsidRPr="008D3945" w:rsidRDefault="00630D4E" w:rsidP="00436D9E">
      <w:r w:rsidRPr="008D3945">
        <w:t xml:space="preserve">Hodnota </w:t>
      </w:r>
      <w:r w:rsidRPr="008D3945">
        <w:rPr>
          <w:i/>
        </w:rPr>
        <w:t>R</w:t>
      </w:r>
      <w:r w:rsidRPr="008D3945">
        <w:t xml:space="preserve"> je závazná. Dodavatel musí být schopen zopakovat postup stanovení jednotlivých pórů, který použil pro sestavení nabídky, přičemž výsledná hodnota rozlišení </w:t>
      </w:r>
      <w:r w:rsidRPr="008D3945">
        <w:rPr>
          <w:i/>
        </w:rPr>
        <w:t>R</w:t>
      </w:r>
      <w:r w:rsidR="00EC5F36" w:rsidRPr="008D3945">
        <w:t xml:space="preserve"> nesmí být větš</w:t>
      </w:r>
      <w:r w:rsidRPr="008D3945">
        <w:t>í než 1,2-násobek hodnoty uvedené v nabídce.</w:t>
      </w:r>
      <w:r w:rsidR="00BA37CA" w:rsidRPr="008D3945">
        <w:t xml:space="preserve"> To je mezní přípustná odchylka hodnoty, která se považuje za odpovídající deklarované hodnotě. Pro ověření se přitom použije týž vzorek titanové pěny, který si dodavatel pro tento účel uchovává do ukončení dodávky u sebe. Při podezření</w:t>
      </w:r>
      <w:r w:rsidR="003B35CE" w:rsidRPr="008D3945">
        <w:t>,</w:t>
      </w:r>
      <w:r w:rsidR="00BA37CA" w:rsidRPr="008D3945">
        <w:t xml:space="preserve"> že došlo k záměně vzorku</w:t>
      </w:r>
      <w:r w:rsidR="00280579" w:rsidRPr="008D3945">
        <w:t>,</w:t>
      </w:r>
      <w:r w:rsidR="00BA37CA" w:rsidRPr="008D3945">
        <w:t xml:space="preserve"> může zadavatel ověřit pravost vzorku kontrolním snímkem leštěné facety vzorku v řádkovacím elektronovém mikroskopu (SEM) a porovnáním s původním snímkem, který si pro tyto účely uchovává a který je uchazeči dodán spolu s kontrolním vzorkem.</w:t>
      </w:r>
    </w:p>
    <w:p w:rsidR="00BA37CA" w:rsidRPr="008D3945" w:rsidRDefault="00BA37CA" w:rsidP="00436D9E"/>
    <w:p w:rsidR="00F14524" w:rsidRPr="008D3945" w:rsidRDefault="00F14524" w:rsidP="00436D9E"/>
    <w:p w:rsidR="00F14524" w:rsidRPr="008D3945" w:rsidRDefault="00F14524" w:rsidP="00436D9E"/>
    <w:p w:rsidR="00F14524" w:rsidRPr="008D3945" w:rsidRDefault="00F14524">
      <w:r w:rsidRPr="008D3945">
        <w:br w:type="page"/>
      </w:r>
    </w:p>
    <w:p w:rsidR="00EE5865" w:rsidRPr="00AC6851" w:rsidRDefault="00682BF7" w:rsidP="00EE5865">
      <w:pPr>
        <w:rPr>
          <w:u w:val="single"/>
          <w:lang w:val="en-GB"/>
        </w:rPr>
      </w:pPr>
      <w:bookmarkStart w:id="0" w:name="_GoBack"/>
      <w:r w:rsidRPr="00AC6851">
        <w:rPr>
          <w:b/>
          <w:u w:val="single"/>
          <w:lang w:val="en-GB"/>
        </w:rPr>
        <w:lastRenderedPageBreak/>
        <w:t>Proceedings for measurement of resolution of details in metal samples’ structure</w:t>
      </w:r>
    </w:p>
    <w:bookmarkEnd w:id="0"/>
    <w:p w:rsidR="00682BF7" w:rsidRPr="00642746" w:rsidRDefault="00682BF7" w:rsidP="00EE5865">
      <w:pPr>
        <w:rPr>
          <w:lang w:val="en-GB"/>
        </w:rPr>
      </w:pPr>
      <w:r w:rsidRPr="00642746">
        <w:rPr>
          <w:lang w:val="en-GB"/>
        </w:rPr>
        <w:t xml:space="preserve">In order to compare the capability of displaying the details in composition inside metal specimens between particular instruments, the </w:t>
      </w:r>
      <w:r w:rsidR="00D24476" w:rsidRPr="00642746">
        <w:rPr>
          <w:lang w:val="en-GB"/>
        </w:rPr>
        <w:t>purchaser chose a sample of titanium foam. The foam is dense and constitutes of compact titanium with pores inflated by gas. The absorption density of gas inside the pores is negligible with respect to surrounding titanium.  The sizes of the pores range from sub-micron to multiple-micron-sized, which originated by coalescence of smaller pores during fast melting of original mixture of titanium powder and the inflating agent. The number and total volume of larger pores decreases proportionally to the number of pores that had to coalesce to form the large pore. The instrument that is capable of detecting the small pores must therefore be able to detect a substantial part of the pore volumes in small pores, which moreover shall exhibit obvious absorption drop with respect to surrounding material.</w:t>
      </w:r>
    </w:p>
    <w:p w:rsidR="00D24476" w:rsidRPr="00642746" w:rsidRDefault="007F6D37" w:rsidP="00EE5865">
      <w:pPr>
        <w:rPr>
          <w:lang w:val="en-GB"/>
        </w:rPr>
      </w:pPr>
      <w:r w:rsidRPr="00642746">
        <w:rPr>
          <w:lang w:val="en-GB"/>
        </w:rPr>
        <w:t>The instrument will be utilised in several basic modes, while for comparison two basic and one complimentary mode was selected.</w:t>
      </w:r>
    </w:p>
    <w:p w:rsidR="00C4246B" w:rsidRPr="00642746" w:rsidRDefault="00C4246B" w:rsidP="00C4246B">
      <w:pPr>
        <w:pStyle w:val="Odstavecseseznamem"/>
        <w:numPr>
          <w:ilvl w:val="0"/>
          <w:numId w:val="3"/>
        </w:numPr>
        <w:ind w:left="284" w:hanging="284"/>
        <w:rPr>
          <w:u w:val="single"/>
          <w:lang w:val="en-GB"/>
        </w:rPr>
      </w:pPr>
      <w:r w:rsidRPr="00642746">
        <w:rPr>
          <w:u w:val="single"/>
          <w:lang w:val="en-GB"/>
        </w:rPr>
        <w:t>The mode of maximum resolution in defined minimum field of view</w:t>
      </w:r>
    </w:p>
    <w:p w:rsidR="00C4246B" w:rsidRPr="00642746" w:rsidRDefault="00C4246B" w:rsidP="00C4246B">
      <w:pPr>
        <w:pStyle w:val="Odstavecseseznamem"/>
        <w:ind w:left="284"/>
        <w:rPr>
          <w:lang w:val="en-GB"/>
        </w:rPr>
      </w:pPr>
      <w:r w:rsidRPr="00642746">
        <w:rPr>
          <w:lang w:val="en-GB"/>
        </w:rPr>
        <w:t>The sample shall be placed in such distance from the X-ray source and the detector to achieve the field of view at least 0.</w:t>
      </w:r>
      <w:r w:rsidR="00BF2012" w:rsidRPr="00642746">
        <w:rPr>
          <w:lang w:val="en-GB"/>
        </w:rPr>
        <w:t>2</w:t>
      </w:r>
      <w:r w:rsidRPr="00642746">
        <w:rPr>
          <w:lang w:val="en-GB"/>
        </w:rPr>
        <w:t>5×0.</w:t>
      </w:r>
      <w:r w:rsidR="00BF2012" w:rsidRPr="00642746">
        <w:rPr>
          <w:lang w:val="en-GB"/>
        </w:rPr>
        <w:t>2</w:t>
      </w:r>
      <w:r w:rsidRPr="00642746">
        <w:rPr>
          <w:lang w:val="en-GB"/>
        </w:rPr>
        <w:t>5×0.</w:t>
      </w:r>
      <w:r w:rsidR="00BF2012" w:rsidRPr="00642746">
        <w:rPr>
          <w:lang w:val="en-GB"/>
        </w:rPr>
        <w:t>2</w:t>
      </w:r>
      <w:r w:rsidRPr="00642746">
        <w:rPr>
          <w:lang w:val="en-GB"/>
        </w:rPr>
        <w:t>5 mm</w:t>
      </w:r>
      <w:r w:rsidRPr="00642746">
        <w:rPr>
          <w:vertAlign w:val="superscript"/>
          <w:lang w:val="en-GB"/>
        </w:rPr>
        <w:t>3</w:t>
      </w:r>
      <w:r w:rsidRPr="00642746">
        <w:rPr>
          <w:lang w:val="en-GB"/>
        </w:rPr>
        <w:t>. Alternatively, several scans are possible with subsequent correlative image stitching</w:t>
      </w:r>
      <w:r w:rsidR="00DE10FF" w:rsidRPr="00642746">
        <w:rPr>
          <w:lang w:val="en-GB"/>
        </w:rPr>
        <w:t>.</w:t>
      </w:r>
      <w:r w:rsidRPr="00642746">
        <w:rPr>
          <w:lang w:val="en-GB"/>
        </w:rPr>
        <w:t xml:space="preserve"> </w:t>
      </w:r>
      <w:r w:rsidR="00DE10FF" w:rsidRPr="00642746">
        <w:rPr>
          <w:lang w:val="en-GB"/>
        </w:rPr>
        <w:t xml:space="preserve">This </w:t>
      </w:r>
      <w:r w:rsidRPr="00642746">
        <w:rPr>
          <w:lang w:val="en-GB"/>
        </w:rPr>
        <w:t xml:space="preserve">procedure </w:t>
      </w:r>
      <w:r w:rsidR="00DE10FF" w:rsidRPr="00642746">
        <w:rPr>
          <w:lang w:val="en-GB"/>
        </w:rPr>
        <w:t xml:space="preserve">needs to be the </w:t>
      </w:r>
      <w:r w:rsidRPr="00642746">
        <w:rPr>
          <w:lang w:val="en-GB"/>
        </w:rPr>
        <w:t>part of the basic reconstruction software.</w:t>
      </w:r>
    </w:p>
    <w:p w:rsidR="00C4246B" w:rsidRPr="00642746" w:rsidRDefault="00C4246B" w:rsidP="00C4246B">
      <w:pPr>
        <w:pStyle w:val="Odstavecseseznamem"/>
        <w:numPr>
          <w:ilvl w:val="0"/>
          <w:numId w:val="3"/>
        </w:numPr>
        <w:ind w:left="284" w:hanging="284"/>
        <w:rPr>
          <w:u w:val="single"/>
          <w:lang w:val="en-GB"/>
        </w:rPr>
      </w:pPr>
      <w:r w:rsidRPr="00642746">
        <w:rPr>
          <w:u w:val="single"/>
          <w:lang w:val="en-GB"/>
        </w:rPr>
        <w:t>The mode of maximum resolution in sample position for measurement with temperature and loading cell</w:t>
      </w:r>
      <w:r w:rsidR="00EE5865" w:rsidRPr="00642746">
        <w:rPr>
          <w:u w:val="single"/>
          <w:lang w:val="en-GB"/>
        </w:rPr>
        <w:br/>
      </w:r>
      <w:r w:rsidRPr="00642746">
        <w:rPr>
          <w:lang w:val="en-GB"/>
        </w:rPr>
        <w:t xml:space="preserve">The sample shall be placed in such distance from the X-Ray source and the detector, in which it could be mounted inside the temperature and loading cell which is part of the bid, and in which </w:t>
      </w:r>
      <w:r w:rsidR="00DE10FF" w:rsidRPr="00642746">
        <w:rPr>
          <w:lang w:val="en-GB"/>
        </w:rPr>
        <w:t xml:space="preserve">distance </w:t>
      </w:r>
      <w:r w:rsidRPr="00642746">
        <w:rPr>
          <w:lang w:val="en-GB"/>
        </w:rPr>
        <w:t>the field of view can show at least 0.</w:t>
      </w:r>
      <w:r w:rsidR="00BF2012" w:rsidRPr="00642746">
        <w:rPr>
          <w:lang w:val="en-GB"/>
        </w:rPr>
        <w:t>2</w:t>
      </w:r>
      <w:r w:rsidRPr="00642746">
        <w:rPr>
          <w:lang w:val="en-GB"/>
        </w:rPr>
        <w:t>5×0.</w:t>
      </w:r>
      <w:r w:rsidR="00BF2012" w:rsidRPr="00642746">
        <w:rPr>
          <w:lang w:val="en-GB"/>
        </w:rPr>
        <w:t>2</w:t>
      </w:r>
      <w:r w:rsidRPr="00642746">
        <w:rPr>
          <w:lang w:val="en-GB"/>
        </w:rPr>
        <w:t>5×0.</w:t>
      </w:r>
      <w:r w:rsidR="00BF2012" w:rsidRPr="00642746">
        <w:rPr>
          <w:lang w:val="en-GB"/>
        </w:rPr>
        <w:t>2</w:t>
      </w:r>
      <w:r w:rsidRPr="00642746">
        <w:rPr>
          <w:lang w:val="en-GB"/>
        </w:rPr>
        <w:t>5 mm</w:t>
      </w:r>
      <w:r w:rsidRPr="00642746">
        <w:rPr>
          <w:vertAlign w:val="superscript"/>
          <w:lang w:val="en-GB"/>
        </w:rPr>
        <w:t>3</w:t>
      </w:r>
      <w:r w:rsidRPr="00642746">
        <w:rPr>
          <w:vertAlign w:val="subscript"/>
          <w:lang w:val="en-GB"/>
        </w:rPr>
        <w:softHyphen/>
      </w:r>
      <w:r w:rsidRPr="00642746">
        <w:rPr>
          <w:lang w:val="en-GB"/>
        </w:rPr>
        <w:t xml:space="preserve"> of the sample volume.</w:t>
      </w:r>
    </w:p>
    <w:p w:rsidR="00EE5865" w:rsidRPr="00642746" w:rsidRDefault="00C4246B" w:rsidP="00C4246B">
      <w:pPr>
        <w:pStyle w:val="Odstavecseseznamem"/>
        <w:numPr>
          <w:ilvl w:val="0"/>
          <w:numId w:val="3"/>
        </w:numPr>
        <w:ind w:left="284" w:hanging="284"/>
        <w:rPr>
          <w:lang w:val="en-GB"/>
        </w:rPr>
      </w:pPr>
      <w:r w:rsidRPr="00642746">
        <w:rPr>
          <w:u w:val="single"/>
          <w:lang w:val="en-GB"/>
        </w:rPr>
        <w:t>The mode of maximum resolution in sample position for other in/situ experiments</w:t>
      </w:r>
      <w:r w:rsidR="00560E2B" w:rsidRPr="00642746">
        <w:rPr>
          <w:u w:val="single"/>
          <w:lang w:val="en-GB"/>
        </w:rPr>
        <w:t xml:space="preserve"> with limited angular window (LRA)</w:t>
      </w:r>
      <w:r w:rsidRPr="00642746">
        <w:rPr>
          <w:u w:val="single"/>
          <w:lang w:val="en-GB"/>
        </w:rPr>
        <w:br/>
      </w:r>
      <w:r w:rsidRPr="00642746">
        <w:rPr>
          <w:lang w:val="en-GB"/>
        </w:rPr>
        <w:t>T</w:t>
      </w:r>
      <w:r w:rsidR="00560E2B" w:rsidRPr="00642746">
        <w:rPr>
          <w:lang w:val="en-GB"/>
        </w:rPr>
        <w:t>he sample shall be placed in such  distance from the X-Ray source and the detector, in which it is possible that between the X-ray source and the detector one coaxial cylindrical arm with at least 10 mm diameter and the distance of the arm axis and the rotation axis is 50 mm (cf. Figure 1) can be placed. The data that are shadowed by such arm or that cannot be measured because of space incompatibility of the arm rotation shall be excluded from the reconstruction. It is possible to utilize the data from the previous mode, if it the distances meet required specification.</w:t>
      </w:r>
      <w:r w:rsidR="00D754EC" w:rsidRPr="00D754EC">
        <w:t xml:space="preserve"> </w:t>
      </w:r>
      <w:r w:rsidR="00D754EC">
        <w:t xml:space="preserve">It is also possible to simulate this reigime by </w:t>
      </w:r>
      <w:r w:rsidR="00D754EC">
        <w:rPr>
          <w:lang w:val="en-US"/>
        </w:rPr>
        <w:t>placing a real coaxial steel bar of such profile t</w:t>
      </w:r>
      <w:r w:rsidR="003916CB">
        <w:rPr>
          <w:lang w:val="en-US"/>
        </w:rPr>
        <w:t>hat covers the circular cross-section depicted in Figure 1 in ground plan</w:t>
      </w:r>
      <w:r w:rsidR="001C0B0C">
        <w:rPr>
          <w:lang w:val="en-US"/>
        </w:rPr>
        <w:t xml:space="preserve"> </w:t>
      </w:r>
      <w:r w:rsidR="001C0B0C" w:rsidRPr="00AC65B7">
        <w:rPr>
          <w:lang w:val="en-US"/>
        </w:rPr>
        <w:t>and overreaches the vertical dimensions of field of view by at least 30 mm in both directions (up and down)</w:t>
      </w:r>
      <w:r w:rsidR="003916CB" w:rsidRPr="00AC65B7">
        <w:rPr>
          <w:lang w:val="en-US"/>
        </w:rPr>
        <w:t>. It</w:t>
      </w:r>
      <w:r w:rsidR="003916CB">
        <w:rPr>
          <w:lang w:val="en-US"/>
        </w:rPr>
        <w:t xml:space="preserve"> is also possible to utilize several different scan distances with different fields of view providing that the time of measurement (see below) comprises time necessary to perform all such scans. </w:t>
      </w:r>
      <w:r w:rsidR="00BD02C4">
        <w:rPr>
          <w:lang w:val="en-GB"/>
        </w:rPr>
        <w:t>The choice of simulated arm angle with respect to sample orientation is arbitrary but it has to be kept constant (the arm is rotating with the sample).</w:t>
      </w:r>
      <w:r w:rsidR="00560E2B" w:rsidRPr="00642746">
        <w:rPr>
          <w:lang w:val="en-GB"/>
        </w:rPr>
        <w:t xml:space="preserve"> This mode is not a mandatory part of the bid; if the reconstruction software does not allow for such reconstruction from limited angular window, the mode need not to be offered and the proofing data further processed. In that case, the vendor fills “NE” </w:t>
      </w:r>
      <w:r w:rsidR="009153AD" w:rsidRPr="00642746">
        <w:rPr>
          <w:lang w:val="en-GB"/>
        </w:rPr>
        <w:t xml:space="preserve">(“no”) </w:t>
      </w:r>
      <w:r w:rsidR="00560E2B" w:rsidRPr="00642746">
        <w:rPr>
          <w:lang w:val="en-GB"/>
        </w:rPr>
        <w:t>instead of results.</w:t>
      </w:r>
      <w:r w:rsidRPr="00642746">
        <w:rPr>
          <w:u w:val="single"/>
          <w:lang w:val="en-GB"/>
        </w:rPr>
        <w:br/>
      </w:r>
    </w:p>
    <w:p w:rsidR="00EE5865" w:rsidRPr="00642746" w:rsidRDefault="00EE5865" w:rsidP="00EE5865">
      <w:pPr>
        <w:rPr>
          <w:lang w:val="en-GB"/>
        </w:rPr>
      </w:pPr>
      <w:r w:rsidRPr="00642746">
        <w:rPr>
          <w:noProof/>
          <w:lang w:eastAsia="cs-CZ"/>
        </w:rPr>
        <w:lastRenderedPageBreak/>
        <w:drawing>
          <wp:inline distT="0" distB="0" distL="0" distR="0">
            <wp:extent cx="4290220" cy="23377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0843" cy="2348996"/>
                    </a:xfrm>
                    <a:prstGeom prst="rect">
                      <a:avLst/>
                    </a:prstGeom>
                    <a:noFill/>
                    <a:ln>
                      <a:noFill/>
                    </a:ln>
                  </pic:spPr>
                </pic:pic>
              </a:graphicData>
            </a:graphic>
          </wp:inline>
        </w:drawing>
      </w:r>
    </w:p>
    <w:p w:rsidR="00EE5865" w:rsidRPr="00642746" w:rsidRDefault="00B34BA5" w:rsidP="00EE5865">
      <w:pPr>
        <w:rPr>
          <w:lang w:val="en-GB"/>
        </w:rPr>
      </w:pPr>
      <w:r w:rsidRPr="00642746">
        <w:rPr>
          <w:lang w:val="en-GB"/>
        </w:rPr>
        <w:t>Fig</w:t>
      </w:r>
      <w:r w:rsidR="00EE5865" w:rsidRPr="00642746">
        <w:rPr>
          <w:lang w:val="en-GB"/>
        </w:rPr>
        <w:t xml:space="preserve">. 1: </w:t>
      </w:r>
      <w:r w:rsidRPr="00642746">
        <w:rPr>
          <w:lang w:val="en-GB"/>
        </w:rPr>
        <w:t>The drawing of non-transparent in-situ arm in one of its rotation positions around the sample.</w:t>
      </w:r>
    </w:p>
    <w:p w:rsidR="00B34BA5" w:rsidRPr="00642746" w:rsidRDefault="00B34BA5" w:rsidP="00EE5865">
      <w:pPr>
        <w:rPr>
          <w:lang w:val="en-GB"/>
        </w:rPr>
      </w:pPr>
      <w:r w:rsidRPr="00642746">
        <w:rPr>
          <w:lang w:val="en-GB"/>
        </w:rPr>
        <w:t xml:space="preserve">The proceedings for establishment of binding values for comparison of resolution capability of the instrument </w:t>
      </w:r>
      <w:r w:rsidR="00922AB3" w:rsidRPr="00642746">
        <w:rPr>
          <w:lang w:val="en-GB"/>
        </w:rPr>
        <w:t>are</w:t>
      </w:r>
      <w:r w:rsidRPr="00642746">
        <w:rPr>
          <w:lang w:val="en-GB"/>
        </w:rPr>
        <w:t xml:space="preserve"> as follows:</w:t>
      </w:r>
    </w:p>
    <w:p w:rsidR="00B34BA5" w:rsidRPr="00642746" w:rsidRDefault="00B34BA5" w:rsidP="00B34BA5">
      <w:pPr>
        <w:pStyle w:val="Odstavecseseznamem"/>
        <w:numPr>
          <w:ilvl w:val="0"/>
          <w:numId w:val="5"/>
        </w:numPr>
        <w:ind w:left="426" w:hanging="426"/>
        <w:rPr>
          <w:lang w:val="en-GB"/>
        </w:rPr>
      </w:pPr>
      <w:r w:rsidRPr="00642746">
        <w:rPr>
          <w:lang w:val="en-GB"/>
        </w:rPr>
        <w:t xml:space="preserve">After all necessary scanning the time of the measurement </w:t>
      </w:r>
      <w:r w:rsidR="00EE5865" w:rsidRPr="00642746">
        <w:rPr>
          <w:i/>
          <w:lang w:val="en-GB"/>
        </w:rPr>
        <w:t>T</w:t>
      </w:r>
      <w:r w:rsidR="00EE5865" w:rsidRPr="00642746">
        <w:rPr>
          <w:i/>
          <w:vertAlign w:val="subscript"/>
          <w:lang w:val="en-GB"/>
        </w:rPr>
        <w:t>m</w:t>
      </w:r>
      <w:r w:rsidR="00EE5865" w:rsidRPr="00642746">
        <w:rPr>
          <w:lang w:val="en-GB"/>
        </w:rPr>
        <w:t xml:space="preserve"> </w:t>
      </w:r>
      <w:r w:rsidRPr="00642746">
        <w:rPr>
          <w:lang w:val="en-GB"/>
        </w:rPr>
        <w:t xml:space="preserve">is recorded in minutes rounded upwards. The time is counted from the start including all necessary intensity data </w:t>
      </w:r>
      <w:r w:rsidR="00D93686" w:rsidRPr="00642746">
        <w:rPr>
          <w:lang w:val="en-GB"/>
        </w:rPr>
        <w:t xml:space="preserve">collections </w:t>
      </w:r>
      <w:r w:rsidRPr="00642746">
        <w:rPr>
          <w:lang w:val="en-GB"/>
        </w:rPr>
        <w:t xml:space="preserve">as well as </w:t>
      </w:r>
      <w:r w:rsidR="00D93686" w:rsidRPr="00642746">
        <w:rPr>
          <w:lang w:val="en-GB"/>
        </w:rPr>
        <w:t>a</w:t>
      </w:r>
      <w:r w:rsidRPr="00642746">
        <w:rPr>
          <w:lang w:val="en-GB"/>
        </w:rPr>
        <w:t>ll necessary motions; if the image stitching mode is utilised, the total time shall count all necessary scans.</w:t>
      </w:r>
    </w:p>
    <w:p w:rsidR="00EE5865" w:rsidRPr="00642746" w:rsidRDefault="00B34BA5" w:rsidP="00B34BA5">
      <w:pPr>
        <w:pStyle w:val="Odstavecseseznamem"/>
        <w:numPr>
          <w:ilvl w:val="0"/>
          <w:numId w:val="5"/>
        </w:numPr>
        <w:ind w:left="426" w:hanging="426"/>
        <w:rPr>
          <w:lang w:val="en-GB"/>
        </w:rPr>
      </w:pPr>
      <w:r w:rsidRPr="00642746">
        <w:rPr>
          <w:lang w:val="en-GB"/>
        </w:rPr>
        <w:t xml:space="preserve">Primary reconstruction of the absorption in the largest possible field of view of the sample is performed, while the minimum requirement is </w:t>
      </w:r>
      <w:r w:rsidR="00EE5865" w:rsidRPr="00642746">
        <w:rPr>
          <w:lang w:val="en-GB"/>
        </w:rPr>
        <w:t>0</w:t>
      </w:r>
      <w:r w:rsidRPr="00642746">
        <w:rPr>
          <w:lang w:val="en-GB"/>
        </w:rPr>
        <w:t>.</w:t>
      </w:r>
      <w:r w:rsidR="00F66FDC" w:rsidRPr="00642746">
        <w:rPr>
          <w:lang w:val="en-GB"/>
        </w:rPr>
        <w:t>2</w:t>
      </w:r>
      <w:r w:rsidR="00EE5865" w:rsidRPr="00642746">
        <w:rPr>
          <w:lang w:val="en-GB"/>
        </w:rPr>
        <w:t>5×0</w:t>
      </w:r>
      <w:r w:rsidRPr="00642746">
        <w:rPr>
          <w:lang w:val="en-GB"/>
        </w:rPr>
        <w:t>.</w:t>
      </w:r>
      <w:r w:rsidR="00F66FDC" w:rsidRPr="00642746">
        <w:rPr>
          <w:lang w:val="en-GB"/>
        </w:rPr>
        <w:t>2</w:t>
      </w:r>
      <w:r w:rsidR="00EE5865" w:rsidRPr="00642746">
        <w:rPr>
          <w:lang w:val="en-GB"/>
        </w:rPr>
        <w:t>5×0</w:t>
      </w:r>
      <w:r w:rsidRPr="00642746">
        <w:rPr>
          <w:lang w:val="en-GB"/>
        </w:rPr>
        <w:t>.</w:t>
      </w:r>
      <w:r w:rsidR="00F66FDC" w:rsidRPr="00642746">
        <w:rPr>
          <w:lang w:val="en-GB"/>
        </w:rPr>
        <w:t>2</w:t>
      </w:r>
      <w:r w:rsidR="00EE5865" w:rsidRPr="00642746">
        <w:rPr>
          <w:lang w:val="en-GB"/>
        </w:rPr>
        <w:t>5 mm</w:t>
      </w:r>
      <w:r w:rsidR="00EE5865" w:rsidRPr="00642746">
        <w:rPr>
          <w:vertAlign w:val="superscript"/>
          <w:lang w:val="en-GB"/>
        </w:rPr>
        <w:t>3</w:t>
      </w:r>
      <w:r w:rsidR="00EE5865" w:rsidRPr="00642746">
        <w:rPr>
          <w:lang w:val="en-GB"/>
        </w:rPr>
        <w:t xml:space="preserve">. </w:t>
      </w:r>
      <w:r w:rsidRPr="00642746">
        <w:rPr>
          <w:lang w:val="en-GB"/>
        </w:rPr>
        <w:t xml:space="preserve">The time required for the reconstruction </w:t>
      </w:r>
      <w:proofErr w:type="spellStart"/>
      <w:r w:rsidR="00EE5865" w:rsidRPr="00642746">
        <w:rPr>
          <w:i/>
          <w:lang w:val="en-GB"/>
        </w:rPr>
        <w:t>T</w:t>
      </w:r>
      <w:r w:rsidR="00EE5865" w:rsidRPr="00642746">
        <w:rPr>
          <w:i/>
          <w:vertAlign w:val="subscript"/>
          <w:lang w:val="en-GB"/>
        </w:rPr>
        <w:t>r</w:t>
      </w:r>
      <w:proofErr w:type="spellEnd"/>
      <w:r w:rsidR="00EE5865" w:rsidRPr="00642746">
        <w:rPr>
          <w:lang w:val="en-GB"/>
        </w:rPr>
        <w:t xml:space="preserve"> </w:t>
      </w:r>
      <w:r w:rsidRPr="00642746">
        <w:rPr>
          <w:lang w:val="en-GB"/>
        </w:rPr>
        <w:t>is recorded in minutes rounded upward</w:t>
      </w:r>
      <w:r w:rsidR="009951AC" w:rsidRPr="00642746">
        <w:rPr>
          <w:lang w:val="en-GB"/>
        </w:rPr>
        <w:t xml:space="preserve">s, as well as dimensions of the reconstructed volume </w:t>
      </w:r>
      <w:proofErr w:type="spellStart"/>
      <w:r w:rsidR="00EE5865" w:rsidRPr="00642746">
        <w:rPr>
          <w:i/>
          <w:lang w:val="en-GB"/>
        </w:rPr>
        <w:t>X</w:t>
      </w:r>
      <w:r w:rsidR="00EE5865" w:rsidRPr="00642746">
        <w:rPr>
          <w:i/>
          <w:vertAlign w:val="subscript"/>
          <w:lang w:val="en-GB"/>
        </w:rPr>
        <w:t>r</w:t>
      </w:r>
      <w:proofErr w:type="spellEnd"/>
      <w:r w:rsidR="00EE5865" w:rsidRPr="00642746">
        <w:rPr>
          <w:lang w:val="en-GB"/>
        </w:rPr>
        <w:t xml:space="preserve">, </w:t>
      </w:r>
      <w:proofErr w:type="spellStart"/>
      <w:r w:rsidR="00EE5865" w:rsidRPr="00642746">
        <w:rPr>
          <w:i/>
          <w:lang w:val="en-GB"/>
        </w:rPr>
        <w:t>Y</w:t>
      </w:r>
      <w:r w:rsidR="00EE5865" w:rsidRPr="00642746">
        <w:rPr>
          <w:i/>
          <w:vertAlign w:val="subscript"/>
          <w:lang w:val="en-GB"/>
        </w:rPr>
        <w:t>r</w:t>
      </w:r>
      <w:proofErr w:type="spellEnd"/>
      <w:r w:rsidR="00EE5865" w:rsidRPr="00642746">
        <w:rPr>
          <w:lang w:val="en-GB"/>
        </w:rPr>
        <w:t xml:space="preserve"> a</w:t>
      </w:r>
      <w:r w:rsidR="009951AC" w:rsidRPr="00642746">
        <w:rPr>
          <w:lang w:val="en-GB"/>
        </w:rPr>
        <w:t>nd</w:t>
      </w:r>
      <w:r w:rsidR="00EE5865" w:rsidRPr="00642746">
        <w:rPr>
          <w:lang w:val="en-GB"/>
        </w:rPr>
        <w:t xml:space="preserve"> </w:t>
      </w:r>
      <w:proofErr w:type="spellStart"/>
      <w:r w:rsidR="00EE5865" w:rsidRPr="00642746">
        <w:rPr>
          <w:i/>
          <w:lang w:val="en-GB"/>
        </w:rPr>
        <w:t>Z</w:t>
      </w:r>
      <w:r w:rsidR="00EE5865" w:rsidRPr="00642746">
        <w:rPr>
          <w:i/>
          <w:vertAlign w:val="subscript"/>
          <w:lang w:val="en-GB"/>
        </w:rPr>
        <w:t>r</w:t>
      </w:r>
      <w:proofErr w:type="spellEnd"/>
      <w:r w:rsidR="00EE5865" w:rsidRPr="00642746">
        <w:rPr>
          <w:lang w:val="en-GB"/>
        </w:rPr>
        <w:t xml:space="preserve"> </w:t>
      </w:r>
      <w:r w:rsidR="009951AC" w:rsidRPr="00642746">
        <w:rPr>
          <w:lang w:val="en-GB"/>
        </w:rPr>
        <w:t>in</w:t>
      </w:r>
      <w:r w:rsidR="00EE5865" w:rsidRPr="00642746">
        <w:rPr>
          <w:lang w:val="en-GB"/>
        </w:rPr>
        <w:t> mi</w:t>
      </w:r>
      <w:r w:rsidR="009951AC" w:rsidRPr="00642746">
        <w:rPr>
          <w:lang w:val="en-GB"/>
        </w:rPr>
        <w:t>l</w:t>
      </w:r>
      <w:r w:rsidR="00EE5865" w:rsidRPr="00642746">
        <w:rPr>
          <w:lang w:val="en-GB"/>
        </w:rPr>
        <w:t>limet</w:t>
      </w:r>
      <w:r w:rsidR="009951AC" w:rsidRPr="00642746">
        <w:rPr>
          <w:lang w:val="en-GB"/>
        </w:rPr>
        <w:t>res</w:t>
      </w:r>
      <w:r w:rsidR="00EE5865" w:rsidRPr="00642746">
        <w:rPr>
          <w:lang w:val="en-GB"/>
        </w:rPr>
        <w:t xml:space="preserve">, </w:t>
      </w:r>
      <w:r w:rsidR="009951AC" w:rsidRPr="00642746">
        <w:rPr>
          <w:lang w:val="en-GB"/>
        </w:rPr>
        <w:t>while each of these dimensions must be at least</w:t>
      </w:r>
      <w:r w:rsidR="00EE5865" w:rsidRPr="00642746">
        <w:rPr>
          <w:lang w:val="en-GB"/>
        </w:rPr>
        <w:t xml:space="preserve"> 0</w:t>
      </w:r>
      <w:r w:rsidR="009951AC" w:rsidRPr="00642746">
        <w:rPr>
          <w:lang w:val="en-GB"/>
        </w:rPr>
        <w:t>.</w:t>
      </w:r>
      <w:r w:rsidR="00BF2012" w:rsidRPr="00642746">
        <w:rPr>
          <w:lang w:val="en-GB"/>
        </w:rPr>
        <w:t>2</w:t>
      </w:r>
      <w:r w:rsidR="00EE5865" w:rsidRPr="00642746">
        <w:rPr>
          <w:lang w:val="en-GB"/>
        </w:rPr>
        <w:t>5 mm.</w:t>
      </w:r>
      <w:r w:rsidR="00363E23">
        <w:rPr>
          <w:lang w:val="en-GB"/>
        </w:rPr>
        <w:t xml:space="preserve"> </w:t>
      </w:r>
      <w:r w:rsidR="005D5B67">
        <w:rPr>
          <w:lang w:val="en-GB"/>
        </w:rPr>
        <w:t xml:space="preserve">Should the reconstructed volume shape not be rectangular, the rectangular volume that is possible to fit completely inside the true reconstructed volume is considered. </w:t>
      </w:r>
      <w:r w:rsidR="00363E23">
        <w:rPr>
          <w:lang w:val="en-GB"/>
        </w:rPr>
        <w:t xml:space="preserve">The time </w:t>
      </w:r>
      <w:proofErr w:type="spellStart"/>
      <w:r w:rsidR="00363E23" w:rsidRPr="00642746">
        <w:rPr>
          <w:i/>
          <w:lang w:val="en-GB"/>
        </w:rPr>
        <w:t>T</w:t>
      </w:r>
      <w:r w:rsidR="00363E23" w:rsidRPr="00642746">
        <w:rPr>
          <w:i/>
          <w:vertAlign w:val="subscript"/>
          <w:lang w:val="en-GB"/>
        </w:rPr>
        <w:t>r</w:t>
      </w:r>
      <w:proofErr w:type="spellEnd"/>
      <w:r w:rsidR="00363E23">
        <w:rPr>
          <w:lang w:val="en-GB"/>
        </w:rPr>
        <w:t xml:space="preserve"> comprises the time elapsed to perform all necessary calculations from previously acquired data to reconstruct the absorption in the reconstructed volume.</w:t>
      </w:r>
      <w:r w:rsidR="00EE5865" w:rsidRPr="00642746">
        <w:rPr>
          <w:lang w:val="en-GB"/>
        </w:rPr>
        <w:t xml:space="preserve"> </w:t>
      </w:r>
      <w:r w:rsidR="009951AC" w:rsidRPr="00642746">
        <w:rPr>
          <w:lang w:val="en-GB"/>
        </w:rPr>
        <w:t xml:space="preserve">For the reconstruction the algorithms utilising solely the measured data shall be employed, the noise shall not be suppressed, nor shall any other assumptions on the density distribution inside the sample be made. It is possible to employ correction for the specimen shape (beam hardening), but each voxel must allow independent value of absorption. Dimensions of the voxels can be arbitrary providing that the largest dimension is not greater than twice the shortest. The voxel volume </w:t>
      </w:r>
      <w:proofErr w:type="spellStart"/>
      <w:r w:rsidR="00EE5865" w:rsidRPr="00642746">
        <w:rPr>
          <w:i/>
          <w:lang w:val="en-GB"/>
        </w:rPr>
        <w:t>V</w:t>
      </w:r>
      <w:r w:rsidR="00EE5865" w:rsidRPr="00642746">
        <w:rPr>
          <w:i/>
          <w:vertAlign w:val="subscript"/>
          <w:lang w:val="en-GB"/>
        </w:rPr>
        <w:t>x</w:t>
      </w:r>
      <w:proofErr w:type="spellEnd"/>
      <w:r w:rsidR="009951AC" w:rsidRPr="00642746">
        <w:rPr>
          <w:lang w:val="en-GB"/>
        </w:rPr>
        <w:t xml:space="preserve"> is determine</w:t>
      </w:r>
      <w:r w:rsidR="008D691C" w:rsidRPr="00642746">
        <w:rPr>
          <w:lang w:val="en-GB"/>
        </w:rPr>
        <w:t>d. These data are further referr</w:t>
      </w:r>
      <w:r w:rsidR="009951AC" w:rsidRPr="00642746">
        <w:rPr>
          <w:lang w:val="en-GB"/>
        </w:rPr>
        <w:t>ed to as “original reconstructed data”.</w:t>
      </w:r>
    </w:p>
    <w:p w:rsidR="00EE5865" w:rsidRPr="00642746" w:rsidRDefault="008D691C" w:rsidP="00B34BA5">
      <w:pPr>
        <w:pStyle w:val="Odstavecseseznamem"/>
        <w:numPr>
          <w:ilvl w:val="0"/>
          <w:numId w:val="5"/>
        </w:numPr>
        <w:ind w:left="426" w:hanging="426"/>
        <w:rPr>
          <w:lang w:val="en-GB"/>
        </w:rPr>
      </w:pPr>
      <w:r w:rsidRPr="00642746">
        <w:rPr>
          <w:lang w:val="en-GB"/>
        </w:rPr>
        <w:t xml:space="preserve">For further processing purposes the </w:t>
      </w:r>
      <w:r w:rsidR="00F66FDC" w:rsidRPr="00642746">
        <w:rPr>
          <w:lang w:val="en-GB"/>
        </w:rPr>
        <w:t>range of interest (ROI) is selected in the reconstructed volume that is completely inside the sample and the minimum dimensions of which are 0.25×0.25×0.25 mm</w:t>
      </w:r>
      <w:r w:rsidR="00F66FDC" w:rsidRPr="00642746">
        <w:rPr>
          <w:vertAlign w:val="superscript"/>
          <w:lang w:val="en-GB"/>
        </w:rPr>
        <w:t>3</w:t>
      </w:r>
      <w:r w:rsidR="00F66FDC" w:rsidRPr="00642746">
        <w:rPr>
          <w:lang w:val="en-GB"/>
        </w:rPr>
        <w:t xml:space="preserve"> and which </w:t>
      </w:r>
      <w:r w:rsidR="00A12C98">
        <w:rPr>
          <w:lang w:val="en-GB"/>
        </w:rPr>
        <w:t xml:space="preserve">is completely </w:t>
      </w:r>
      <w:r w:rsidR="00F66FDC" w:rsidRPr="00642746">
        <w:rPr>
          <w:lang w:val="en-GB"/>
        </w:rPr>
        <w:t>embed</w:t>
      </w:r>
      <w:r w:rsidR="00A12C98">
        <w:rPr>
          <w:lang w:val="en-GB"/>
        </w:rPr>
        <w:t>ded</w:t>
      </w:r>
      <w:r w:rsidR="00F66FDC" w:rsidRPr="00642746">
        <w:rPr>
          <w:lang w:val="en-GB"/>
        </w:rPr>
        <w:t xml:space="preserve"> </w:t>
      </w:r>
      <w:r w:rsidR="00A12C98">
        <w:rPr>
          <w:lang w:val="en-GB"/>
        </w:rPr>
        <w:t>inside the specimen</w:t>
      </w:r>
      <w:r w:rsidR="00F66FDC" w:rsidRPr="00642746">
        <w:rPr>
          <w:lang w:val="en-GB"/>
        </w:rPr>
        <w:t xml:space="preserve">. It is possible to utilize the </w:t>
      </w:r>
      <w:r w:rsidR="00A96EEF">
        <w:rPr>
          <w:lang w:val="en-GB"/>
        </w:rPr>
        <w:t xml:space="preserve">whole </w:t>
      </w:r>
      <w:r w:rsidR="00F66FDC" w:rsidRPr="00642746">
        <w:rPr>
          <w:lang w:val="en-GB"/>
        </w:rPr>
        <w:t>reconstructed volume, if the whole volume lies inside the specimen.</w:t>
      </w:r>
      <w:r w:rsidR="00D0799C" w:rsidRPr="00642746">
        <w:rPr>
          <w:lang w:val="en-GB"/>
        </w:rPr>
        <w:t xml:space="preserve"> The volume of ROI </w:t>
      </w:r>
      <w:r w:rsidR="00D0799C" w:rsidRPr="00642746">
        <w:rPr>
          <w:i/>
          <w:lang w:val="en-GB"/>
        </w:rPr>
        <w:t>V</w:t>
      </w:r>
      <w:r w:rsidR="00D0799C" w:rsidRPr="00642746">
        <w:rPr>
          <w:vertAlign w:val="subscript"/>
          <w:lang w:val="en-GB"/>
        </w:rPr>
        <w:t>0</w:t>
      </w:r>
      <w:r w:rsidR="00D0799C" w:rsidRPr="00642746">
        <w:rPr>
          <w:lang w:val="en-GB"/>
        </w:rPr>
        <w:t xml:space="preserve"> in </w:t>
      </w:r>
      <w:r w:rsidR="00363E23">
        <w:rPr>
          <w:lang w:val="en-GB"/>
        </w:rPr>
        <w:t>µ</w:t>
      </w:r>
      <w:r w:rsidR="00D0799C" w:rsidRPr="00642746">
        <w:rPr>
          <w:lang w:val="en-GB"/>
        </w:rPr>
        <w:t>m</w:t>
      </w:r>
      <w:r w:rsidR="00D0799C" w:rsidRPr="00642746">
        <w:rPr>
          <w:vertAlign w:val="superscript"/>
          <w:lang w:val="en-GB"/>
        </w:rPr>
        <w:t>3</w:t>
      </w:r>
      <w:r w:rsidR="00D0799C" w:rsidRPr="00642746">
        <w:rPr>
          <w:lang w:val="en-GB"/>
        </w:rPr>
        <w:t xml:space="preserve"> is calculated and the average absorption </w:t>
      </w:r>
      <w:r w:rsidR="00D0799C" w:rsidRPr="00642746">
        <w:rPr>
          <w:i/>
          <w:lang w:val="en-GB"/>
        </w:rPr>
        <w:t>A</w:t>
      </w:r>
      <w:r w:rsidR="00D0799C" w:rsidRPr="00642746">
        <w:rPr>
          <w:lang w:val="en-GB"/>
        </w:rPr>
        <w:softHyphen/>
      </w:r>
      <w:r w:rsidR="00D0799C" w:rsidRPr="00642746">
        <w:rPr>
          <w:vertAlign w:val="subscript"/>
          <w:lang w:val="en-GB"/>
        </w:rPr>
        <w:t>0</w:t>
      </w:r>
      <w:r w:rsidR="00D0799C" w:rsidRPr="00642746">
        <w:rPr>
          <w:lang w:val="en-GB"/>
        </w:rPr>
        <w:t xml:space="preserve"> of the material inside ROI is determined. The absorption value need not to be normalized, any measure of X-ray signal damping that was used in original reconstructed data is sufficient.</w:t>
      </w:r>
    </w:p>
    <w:p w:rsidR="005E40F6" w:rsidRPr="00642746" w:rsidRDefault="00B42D5F" w:rsidP="005E40F6">
      <w:pPr>
        <w:pStyle w:val="Odstavecseseznamem"/>
        <w:numPr>
          <w:ilvl w:val="0"/>
          <w:numId w:val="5"/>
        </w:numPr>
        <w:ind w:left="426" w:hanging="426"/>
        <w:rPr>
          <w:lang w:val="en-GB"/>
        </w:rPr>
      </w:pPr>
      <w:r w:rsidRPr="00642746">
        <w:rPr>
          <w:lang w:val="en-GB"/>
        </w:rPr>
        <w:t>Using the software for component segmentation the volume distribution of particular pores is determined. As a pore it shall be considered a continuous volume with reduced absorption comprising at least 10 voxels</w:t>
      </w:r>
      <w:r w:rsidR="00022D8F" w:rsidRPr="00642746">
        <w:rPr>
          <w:lang w:val="en-GB"/>
        </w:rPr>
        <w:t xml:space="preserve"> where all the voxels constituting particular pore have at least one common facet with other voxel from the same pore, while no voxel of one pore possesses common facet or edge with a voxel belonging to another pore. In order to determine the </w:t>
      </w:r>
      <w:r w:rsidR="00022D8F" w:rsidRPr="00642746">
        <w:rPr>
          <w:lang w:val="en-GB"/>
        </w:rPr>
        <w:lastRenderedPageBreak/>
        <w:t>positions and shapes of the pores the data can be filtered arbitrarily, algorithms limiting the recognized shapes can be applied as well (</w:t>
      </w:r>
      <w:r w:rsidR="00EA297C" w:rsidRPr="00642746">
        <w:rPr>
          <w:lang w:val="en-GB"/>
        </w:rPr>
        <w:t xml:space="preserve">minimum </w:t>
      </w:r>
      <w:r w:rsidR="00022D8F" w:rsidRPr="00642746">
        <w:rPr>
          <w:lang w:val="en-GB"/>
        </w:rPr>
        <w:t>embedded spheres, minimum separation</w:t>
      </w:r>
      <w:r w:rsidR="00EA297C" w:rsidRPr="00642746">
        <w:rPr>
          <w:lang w:val="en-GB"/>
        </w:rPr>
        <w:t xml:space="preserve"> for not-connected pores</w:t>
      </w:r>
      <w:r w:rsidR="00022D8F" w:rsidRPr="00642746">
        <w:rPr>
          <w:lang w:val="en-GB"/>
        </w:rPr>
        <w:t xml:space="preserve">, etc.); it is not allowed to make further assumptions on the resulting size or shape distribution which shall be </w:t>
      </w:r>
      <w:r w:rsidR="00EA297C" w:rsidRPr="00642746">
        <w:rPr>
          <w:lang w:val="en-GB"/>
        </w:rPr>
        <w:t>the output</w:t>
      </w:r>
      <w:r w:rsidR="00022D8F" w:rsidRPr="00642746">
        <w:rPr>
          <w:lang w:val="en-GB"/>
        </w:rPr>
        <w:t xml:space="preserve">. The only primary indication of the pore shall be the absorption; the ability of the software to define the pore boundaries is considered as part of the testing procedure. The vendor also records the proceedings by which </w:t>
      </w:r>
      <w:r w:rsidR="00EA297C" w:rsidRPr="00642746">
        <w:rPr>
          <w:lang w:val="en-GB"/>
        </w:rPr>
        <w:t xml:space="preserve">the pore segmentation </w:t>
      </w:r>
      <w:r w:rsidR="00626D81" w:rsidRPr="00642746">
        <w:rPr>
          <w:lang w:val="en-GB"/>
        </w:rPr>
        <w:t xml:space="preserve">was acquired </w:t>
      </w:r>
      <w:r w:rsidR="00EA297C" w:rsidRPr="00642746">
        <w:rPr>
          <w:lang w:val="en-GB"/>
        </w:rPr>
        <w:t>to be able to reconstruct it by the verification procedure upon delivery.</w:t>
      </w:r>
    </w:p>
    <w:p w:rsidR="00EE5865" w:rsidRPr="00642746" w:rsidRDefault="005E40F6" w:rsidP="005E40F6">
      <w:pPr>
        <w:pStyle w:val="Odstavecseseznamem"/>
        <w:numPr>
          <w:ilvl w:val="0"/>
          <w:numId w:val="5"/>
        </w:numPr>
        <w:ind w:left="426" w:hanging="426"/>
        <w:rPr>
          <w:lang w:val="en-GB"/>
        </w:rPr>
      </w:pPr>
      <w:r w:rsidRPr="00642746">
        <w:rPr>
          <w:lang w:val="en-GB"/>
        </w:rPr>
        <w:t xml:space="preserve">From the list of all observed pores, the number of pores </w:t>
      </w:r>
      <w:proofErr w:type="spellStart"/>
      <w:r w:rsidRPr="00642746">
        <w:rPr>
          <w:i/>
          <w:lang w:val="en-GB"/>
        </w:rPr>
        <w:t>N</w:t>
      </w:r>
      <w:r w:rsidRPr="00642746">
        <w:rPr>
          <w:i/>
          <w:vertAlign w:val="subscript"/>
          <w:lang w:val="en-GB"/>
        </w:rPr>
        <w:t>k</w:t>
      </w:r>
      <w:proofErr w:type="spellEnd"/>
      <w:r w:rsidRPr="00642746">
        <w:rPr>
          <w:lang w:val="en-GB"/>
        </w:rPr>
        <w:t xml:space="preserve"> and total volume of pores </w:t>
      </w:r>
      <w:proofErr w:type="spellStart"/>
      <w:r w:rsidRPr="00642746">
        <w:rPr>
          <w:i/>
          <w:lang w:val="en-GB"/>
        </w:rPr>
        <w:t>V</w:t>
      </w:r>
      <w:r w:rsidRPr="00642746">
        <w:rPr>
          <w:i/>
          <w:vertAlign w:val="subscript"/>
          <w:lang w:val="en-GB"/>
        </w:rPr>
        <w:t>k</w:t>
      </w:r>
      <w:proofErr w:type="spellEnd"/>
      <w:r w:rsidRPr="00642746">
        <w:rPr>
          <w:lang w:val="en-GB"/>
        </w:rPr>
        <w:t xml:space="preserve"> and mean absorption </w:t>
      </w:r>
      <w:proofErr w:type="spellStart"/>
      <w:r w:rsidRPr="00642746">
        <w:rPr>
          <w:i/>
          <w:lang w:val="en-GB"/>
        </w:rPr>
        <w:t>A</w:t>
      </w:r>
      <w:r w:rsidRPr="00642746">
        <w:rPr>
          <w:i/>
          <w:vertAlign w:val="subscript"/>
          <w:lang w:val="en-GB"/>
        </w:rPr>
        <w:t>k</w:t>
      </w:r>
      <w:proofErr w:type="spellEnd"/>
      <w:r w:rsidRPr="00642746">
        <w:rPr>
          <w:lang w:val="en-GB"/>
        </w:rPr>
        <w:t xml:space="preserve"> inside pores (not normalized) is determined for all pores that fulfil the minimum voxel count condition </w:t>
      </w:r>
      <w:proofErr w:type="spellStart"/>
      <w:r w:rsidRPr="00642746">
        <w:rPr>
          <w:i/>
          <w:lang w:val="en-GB"/>
        </w:rPr>
        <w:t>C</w:t>
      </w:r>
      <w:r w:rsidRPr="00642746">
        <w:rPr>
          <w:i/>
          <w:vertAlign w:val="subscript"/>
          <w:lang w:val="en-GB"/>
        </w:rPr>
        <w:t>k</w:t>
      </w:r>
      <w:proofErr w:type="spellEnd"/>
      <w:r w:rsidRPr="00642746">
        <w:rPr>
          <w:lang w:val="en-GB"/>
        </w:rPr>
        <w:t xml:space="preserve"> (for </w:t>
      </w:r>
      <w:r w:rsidRPr="00642746">
        <w:rPr>
          <w:i/>
          <w:lang w:val="en-GB"/>
        </w:rPr>
        <w:t>k</w:t>
      </w:r>
      <w:r w:rsidRPr="00642746">
        <w:rPr>
          <w:lang w:val="en-GB"/>
        </w:rPr>
        <w:t xml:space="preserve"> counting from 1 to 10) defined in Table 1. The total volume of pores </w:t>
      </w:r>
      <w:proofErr w:type="spellStart"/>
      <w:r w:rsidRPr="00642746">
        <w:rPr>
          <w:i/>
          <w:lang w:val="en-GB"/>
        </w:rPr>
        <w:t>V</w:t>
      </w:r>
      <w:r w:rsidRPr="00642746">
        <w:rPr>
          <w:i/>
          <w:vertAlign w:val="subscript"/>
          <w:lang w:val="en-GB"/>
        </w:rPr>
        <w:t>k</w:t>
      </w:r>
      <w:proofErr w:type="spellEnd"/>
      <w:r w:rsidRPr="00642746">
        <w:rPr>
          <w:lang w:val="en-GB"/>
        </w:rPr>
        <w:t xml:space="preserve"> is the total number of voxels of each size category multiplied by voxel volume </w:t>
      </w:r>
      <w:proofErr w:type="spellStart"/>
      <w:r w:rsidRPr="00642746">
        <w:rPr>
          <w:i/>
          <w:lang w:val="en-GB"/>
        </w:rPr>
        <w:t>V</w:t>
      </w:r>
      <w:r w:rsidRPr="00642746">
        <w:rPr>
          <w:i/>
          <w:lang w:val="en-GB"/>
        </w:rPr>
        <w:softHyphen/>
      </w:r>
      <w:r w:rsidRPr="00642746">
        <w:rPr>
          <w:i/>
          <w:vertAlign w:val="subscript"/>
          <w:lang w:val="en-GB"/>
        </w:rPr>
        <w:t>x</w:t>
      </w:r>
      <w:proofErr w:type="spellEnd"/>
      <w:r w:rsidR="00310E5A" w:rsidRPr="00642746">
        <w:rPr>
          <w:lang w:val="en-GB"/>
        </w:rPr>
        <w:t xml:space="preserve"> in cubic </w:t>
      </w:r>
      <w:r w:rsidR="00E53148" w:rsidRPr="00642746">
        <w:rPr>
          <w:lang w:val="en-GB"/>
        </w:rPr>
        <w:t>micrometres</w:t>
      </w:r>
      <w:r w:rsidR="00310E5A" w:rsidRPr="00642746">
        <w:rPr>
          <w:lang w:val="en-GB"/>
        </w:rPr>
        <w:t xml:space="preserve">. </w:t>
      </w:r>
      <w:r w:rsidRPr="00642746">
        <w:rPr>
          <w:lang w:val="en-GB"/>
        </w:rPr>
        <w:t xml:space="preserve">The mean absorption inside the pores is determined from original reconstructed data (prior to any filtering). All these values are recorded into Table 1. </w:t>
      </w:r>
      <w:r w:rsidR="00E85759" w:rsidRPr="00642746">
        <w:rPr>
          <w:lang w:val="en-GB"/>
        </w:rPr>
        <w:t xml:space="preserve">Should the number of pores in some category be zero, then </w:t>
      </w:r>
      <w:proofErr w:type="spellStart"/>
      <w:r w:rsidR="00E85759" w:rsidRPr="00642746">
        <w:rPr>
          <w:i/>
          <w:lang w:val="en-GB"/>
        </w:rPr>
        <w:t>N</w:t>
      </w:r>
      <w:r w:rsidR="00E85759" w:rsidRPr="00642746">
        <w:rPr>
          <w:i/>
          <w:lang w:val="en-GB"/>
        </w:rPr>
        <w:softHyphen/>
      </w:r>
      <w:r w:rsidR="00E85759" w:rsidRPr="00642746">
        <w:rPr>
          <w:i/>
          <w:vertAlign w:val="subscript"/>
          <w:lang w:val="en-GB"/>
        </w:rPr>
        <w:t>k</w:t>
      </w:r>
      <w:proofErr w:type="spellEnd"/>
      <w:r w:rsidR="00E85759" w:rsidRPr="00642746">
        <w:rPr>
          <w:lang w:val="en-GB"/>
        </w:rPr>
        <w:t xml:space="preserve">=0, </w:t>
      </w:r>
      <w:proofErr w:type="spellStart"/>
      <w:r w:rsidR="00E85759" w:rsidRPr="00642746">
        <w:rPr>
          <w:i/>
          <w:lang w:val="en-GB"/>
        </w:rPr>
        <w:t>A</w:t>
      </w:r>
      <w:r w:rsidR="00E85759" w:rsidRPr="00642746">
        <w:rPr>
          <w:i/>
          <w:vertAlign w:val="subscript"/>
          <w:lang w:val="en-GB"/>
        </w:rPr>
        <w:t>k</w:t>
      </w:r>
      <w:proofErr w:type="spellEnd"/>
      <w:r w:rsidR="00E85759" w:rsidRPr="00642746">
        <w:rPr>
          <w:lang w:val="en-GB"/>
        </w:rPr>
        <w:t xml:space="preserve"> =</w:t>
      </w:r>
      <w:r w:rsidR="00E85759" w:rsidRPr="00642746">
        <w:rPr>
          <w:i/>
          <w:lang w:val="en-GB"/>
        </w:rPr>
        <w:t xml:space="preserve"> A</w:t>
      </w:r>
      <w:r w:rsidR="00E85759" w:rsidRPr="00642746">
        <w:rPr>
          <w:i/>
          <w:vertAlign w:val="subscript"/>
          <w:lang w:val="en-GB"/>
        </w:rPr>
        <w:t>k</w:t>
      </w:r>
      <w:r w:rsidR="00E85759" w:rsidRPr="00642746">
        <w:rPr>
          <w:vertAlign w:val="subscript"/>
          <w:lang w:val="en-GB"/>
        </w:rPr>
        <w:t>-1</w:t>
      </w:r>
      <w:r w:rsidR="00E85759" w:rsidRPr="00642746">
        <w:rPr>
          <w:lang w:val="en-GB"/>
        </w:rPr>
        <w:t xml:space="preserve"> and </w:t>
      </w:r>
      <w:proofErr w:type="spellStart"/>
      <w:r w:rsidR="00E85759" w:rsidRPr="00642746">
        <w:rPr>
          <w:i/>
          <w:lang w:val="en-GB"/>
        </w:rPr>
        <w:t>V</w:t>
      </w:r>
      <w:r w:rsidR="00E85759" w:rsidRPr="00642746">
        <w:rPr>
          <w:i/>
          <w:vertAlign w:val="subscript"/>
          <w:lang w:val="en-GB"/>
        </w:rPr>
        <w:t>k</w:t>
      </w:r>
      <w:proofErr w:type="spellEnd"/>
      <w:r w:rsidR="00E85759" w:rsidRPr="00642746">
        <w:rPr>
          <w:lang w:val="en-GB"/>
        </w:rPr>
        <w:t xml:space="preserve"> =</w:t>
      </w:r>
      <w:r w:rsidR="00E85759" w:rsidRPr="00642746">
        <w:rPr>
          <w:i/>
          <w:lang w:val="en-GB"/>
        </w:rPr>
        <w:t xml:space="preserve"> V</w:t>
      </w:r>
      <w:r w:rsidR="00E85759" w:rsidRPr="00642746">
        <w:rPr>
          <w:i/>
          <w:vertAlign w:val="subscript"/>
          <w:lang w:val="en-GB"/>
        </w:rPr>
        <w:t>k</w:t>
      </w:r>
      <w:r w:rsidR="00E85759" w:rsidRPr="00642746">
        <w:rPr>
          <w:vertAlign w:val="subscript"/>
          <w:lang w:val="en-GB"/>
        </w:rPr>
        <w:t>-1</w:t>
      </w:r>
      <w:r w:rsidR="00E85759" w:rsidRPr="00642746">
        <w:rPr>
          <w:lang w:val="en-GB"/>
        </w:rPr>
        <w:t xml:space="preserve"> are recorded.</w:t>
      </w:r>
      <w:r w:rsidR="00E85759" w:rsidRPr="00642746">
        <w:rPr>
          <w:lang w:val="en-GB"/>
        </w:rPr>
        <w:br/>
      </w:r>
    </w:p>
    <w:tbl>
      <w:tblPr>
        <w:tblStyle w:val="Mkatabulky"/>
        <w:tblW w:w="0" w:type="auto"/>
        <w:tblInd w:w="426"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708"/>
        <w:gridCol w:w="1726"/>
        <w:gridCol w:w="1710"/>
        <w:gridCol w:w="1703"/>
        <w:gridCol w:w="1739"/>
      </w:tblGrid>
      <w:tr w:rsidR="00EE5865" w:rsidRPr="00642746" w:rsidTr="00682BF7">
        <w:tc>
          <w:tcPr>
            <w:tcW w:w="1708" w:type="dxa"/>
            <w:tcBorders>
              <w:top w:val="single" w:sz="24" w:space="0" w:color="auto"/>
              <w:bottom w:val="single" w:sz="4" w:space="0" w:color="auto"/>
            </w:tcBorders>
          </w:tcPr>
          <w:p w:rsidR="00EE5865" w:rsidRPr="00642746" w:rsidRDefault="005E40F6" w:rsidP="00DE010C">
            <w:pPr>
              <w:pStyle w:val="Odstavecseseznamem"/>
              <w:ind w:left="502"/>
              <w:rPr>
                <w:lang w:val="en-GB"/>
              </w:rPr>
            </w:pPr>
            <w:r w:rsidRPr="00642746">
              <w:rPr>
                <w:lang w:val="en-GB"/>
              </w:rPr>
              <w:t xml:space="preserve">Category </w:t>
            </w:r>
            <w:r w:rsidR="00EE5865" w:rsidRPr="00642746">
              <w:rPr>
                <w:lang w:val="en-GB"/>
              </w:rPr>
              <w:t>number</w:t>
            </w:r>
          </w:p>
        </w:tc>
        <w:tc>
          <w:tcPr>
            <w:tcW w:w="1726" w:type="dxa"/>
            <w:tcBorders>
              <w:top w:val="single" w:sz="24" w:space="0" w:color="auto"/>
              <w:bottom w:val="single" w:sz="4" w:space="0" w:color="auto"/>
            </w:tcBorders>
          </w:tcPr>
          <w:p w:rsidR="00EE5865" w:rsidRPr="00642746" w:rsidRDefault="00EE5865" w:rsidP="00682BF7">
            <w:pPr>
              <w:pStyle w:val="Odstavecseseznamem"/>
              <w:ind w:left="0"/>
              <w:jc w:val="center"/>
              <w:rPr>
                <w:lang w:val="en-GB"/>
              </w:rPr>
            </w:pPr>
            <w:r w:rsidRPr="00642746">
              <w:rPr>
                <w:lang w:val="en-GB"/>
              </w:rPr>
              <w:t>Minimum voxels</w:t>
            </w:r>
          </w:p>
        </w:tc>
        <w:tc>
          <w:tcPr>
            <w:tcW w:w="1710" w:type="dxa"/>
            <w:tcBorders>
              <w:top w:val="single" w:sz="24" w:space="0" w:color="auto"/>
              <w:bottom w:val="single" w:sz="4" w:space="0" w:color="auto"/>
            </w:tcBorders>
          </w:tcPr>
          <w:p w:rsidR="00EE5865" w:rsidRPr="00642746" w:rsidRDefault="00EE5865" w:rsidP="00682BF7">
            <w:pPr>
              <w:pStyle w:val="Odstavecseseznamem"/>
              <w:ind w:left="0"/>
              <w:jc w:val="center"/>
              <w:rPr>
                <w:lang w:val="en-GB"/>
              </w:rPr>
            </w:pPr>
            <w:r w:rsidRPr="00642746">
              <w:rPr>
                <w:lang w:val="en-GB"/>
              </w:rPr>
              <w:t>Number of pores</w:t>
            </w:r>
          </w:p>
        </w:tc>
        <w:tc>
          <w:tcPr>
            <w:tcW w:w="1703" w:type="dxa"/>
            <w:tcBorders>
              <w:top w:val="single" w:sz="24" w:space="0" w:color="auto"/>
              <w:bottom w:val="single" w:sz="4" w:space="0" w:color="auto"/>
            </w:tcBorders>
          </w:tcPr>
          <w:p w:rsidR="00EE5865" w:rsidRPr="00642746" w:rsidRDefault="00EE5865" w:rsidP="00682BF7">
            <w:pPr>
              <w:pStyle w:val="Odstavecseseznamem"/>
              <w:ind w:left="0"/>
              <w:jc w:val="center"/>
              <w:rPr>
                <w:lang w:val="en-GB"/>
              </w:rPr>
            </w:pPr>
            <w:r w:rsidRPr="00642746">
              <w:rPr>
                <w:lang w:val="en-GB"/>
              </w:rPr>
              <w:t>Total volume of pores</w:t>
            </w:r>
          </w:p>
        </w:tc>
        <w:tc>
          <w:tcPr>
            <w:tcW w:w="1739" w:type="dxa"/>
            <w:tcBorders>
              <w:top w:val="single" w:sz="24" w:space="0" w:color="auto"/>
              <w:bottom w:val="single" w:sz="4" w:space="0" w:color="auto"/>
            </w:tcBorders>
          </w:tcPr>
          <w:p w:rsidR="00EE5865" w:rsidRPr="00642746" w:rsidRDefault="00EE5865" w:rsidP="00682BF7">
            <w:pPr>
              <w:pStyle w:val="Odstavecseseznamem"/>
              <w:ind w:left="0"/>
              <w:jc w:val="center"/>
              <w:rPr>
                <w:lang w:val="en-GB"/>
              </w:rPr>
            </w:pPr>
            <w:r w:rsidRPr="00642746">
              <w:rPr>
                <w:lang w:val="en-GB"/>
              </w:rPr>
              <w:t>Average absorption</w:t>
            </w:r>
          </w:p>
        </w:tc>
      </w:tr>
      <w:tr w:rsidR="00EE5865" w:rsidRPr="00642746" w:rsidTr="00682BF7">
        <w:tc>
          <w:tcPr>
            <w:tcW w:w="1708" w:type="dxa"/>
            <w:tcBorders>
              <w:top w:val="single" w:sz="4" w:space="0" w:color="auto"/>
              <w:bottom w:val="single" w:sz="12" w:space="0" w:color="auto"/>
            </w:tcBorders>
          </w:tcPr>
          <w:p w:rsidR="00EE5865" w:rsidRPr="00642746" w:rsidRDefault="00EE5865" w:rsidP="00682BF7">
            <w:pPr>
              <w:pStyle w:val="Odstavecseseznamem"/>
              <w:ind w:left="0"/>
              <w:jc w:val="center"/>
              <w:rPr>
                <w:i/>
                <w:lang w:val="en-GB"/>
              </w:rPr>
            </w:pPr>
            <w:r w:rsidRPr="00642746">
              <w:rPr>
                <w:i/>
                <w:lang w:val="en-GB"/>
              </w:rPr>
              <w:t>k</w:t>
            </w:r>
          </w:p>
        </w:tc>
        <w:tc>
          <w:tcPr>
            <w:tcW w:w="1726" w:type="dxa"/>
            <w:tcBorders>
              <w:top w:val="single" w:sz="4" w:space="0" w:color="auto"/>
              <w:bottom w:val="single" w:sz="12" w:space="0" w:color="auto"/>
            </w:tcBorders>
          </w:tcPr>
          <w:p w:rsidR="00EE5865" w:rsidRPr="00642746" w:rsidRDefault="00EE5865" w:rsidP="00682BF7">
            <w:pPr>
              <w:pStyle w:val="Odstavecseseznamem"/>
              <w:ind w:left="0"/>
              <w:jc w:val="center"/>
              <w:rPr>
                <w:i/>
                <w:vertAlign w:val="subscript"/>
                <w:lang w:val="en-GB"/>
              </w:rPr>
            </w:pPr>
            <w:r w:rsidRPr="00642746">
              <w:rPr>
                <w:i/>
                <w:lang w:val="en-GB"/>
              </w:rPr>
              <w:t>C</w:t>
            </w:r>
            <w:r w:rsidRPr="00642746">
              <w:rPr>
                <w:i/>
                <w:vertAlign w:val="subscript"/>
                <w:lang w:val="en-GB"/>
              </w:rPr>
              <w:t>k</w:t>
            </w:r>
          </w:p>
        </w:tc>
        <w:tc>
          <w:tcPr>
            <w:tcW w:w="1710" w:type="dxa"/>
            <w:tcBorders>
              <w:top w:val="single" w:sz="4" w:space="0" w:color="auto"/>
              <w:bottom w:val="single" w:sz="12" w:space="0" w:color="auto"/>
            </w:tcBorders>
          </w:tcPr>
          <w:p w:rsidR="00EE5865" w:rsidRPr="00642746" w:rsidRDefault="00EE5865" w:rsidP="00682BF7">
            <w:pPr>
              <w:pStyle w:val="Odstavecseseznamem"/>
              <w:ind w:left="0"/>
              <w:jc w:val="center"/>
              <w:rPr>
                <w:i/>
                <w:vertAlign w:val="subscript"/>
                <w:lang w:val="en-GB"/>
              </w:rPr>
            </w:pPr>
            <w:proofErr w:type="spellStart"/>
            <w:r w:rsidRPr="00642746">
              <w:rPr>
                <w:i/>
                <w:lang w:val="en-GB"/>
              </w:rPr>
              <w:t>N</w:t>
            </w:r>
            <w:r w:rsidRPr="00642746">
              <w:rPr>
                <w:i/>
                <w:vertAlign w:val="subscript"/>
                <w:lang w:val="en-GB"/>
              </w:rPr>
              <w:t>k</w:t>
            </w:r>
            <w:proofErr w:type="spellEnd"/>
          </w:p>
        </w:tc>
        <w:tc>
          <w:tcPr>
            <w:tcW w:w="1703" w:type="dxa"/>
            <w:tcBorders>
              <w:top w:val="single" w:sz="4" w:space="0" w:color="auto"/>
              <w:bottom w:val="single" w:sz="12" w:space="0" w:color="auto"/>
            </w:tcBorders>
          </w:tcPr>
          <w:p w:rsidR="00EE5865" w:rsidRPr="00642746" w:rsidRDefault="00EE5865" w:rsidP="00682BF7">
            <w:pPr>
              <w:pStyle w:val="Odstavecseseznamem"/>
              <w:ind w:left="0"/>
              <w:jc w:val="center"/>
              <w:rPr>
                <w:lang w:val="en-GB"/>
              </w:rPr>
            </w:pPr>
            <w:proofErr w:type="spellStart"/>
            <w:r w:rsidRPr="00642746">
              <w:rPr>
                <w:i/>
                <w:lang w:val="en-GB"/>
              </w:rPr>
              <w:t>V</w:t>
            </w:r>
            <w:r w:rsidRPr="00642746">
              <w:rPr>
                <w:i/>
                <w:vertAlign w:val="subscript"/>
                <w:lang w:val="en-GB"/>
              </w:rPr>
              <w:t>k</w:t>
            </w:r>
            <w:proofErr w:type="spellEnd"/>
            <w:r w:rsidRPr="00642746">
              <w:rPr>
                <w:lang w:val="en-GB"/>
              </w:rPr>
              <w:t xml:space="preserve"> [μm</w:t>
            </w:r>
            <w:r w:rsidRPr="00642746">
              <w:rPr>
                <w:vertAlign w:val="superscript"/>
                <w:lang w:val="en-GB"/>
              </w:rPr>
              <w:t>3</w:t>
            </w:r>
            <w:r w:rsidRPr="00642746">
              <w:rPr>
                <w:lang w:val="en-GB"/>
              </w:rPr>
              <w:t>]</w:t>
            </w:r>
          </w:p>
        </w:tc>
        <w:tc>
          <w:tcPr>
            <w:tcW w:w="1739" w:type="dxa"/>
            <w:tcBorders>
              <w:top w:val="single" w:sz="4" w:space="0" w:color="auto"/>
              <w:bottom w:val="single" w:sz="12" w:space="0" w:color="auto"/>
            </w:tcBorders>
          </w:tcPr>
          <w:p w:rsidR="00EE5865" w:rsidRPr="00642746" w:rsidRDefault="00EE5865" w:rsidP="00682BF7">
            <w:pPr>
              <w:pStyle w:val="Odstavecseseznamem"/>
              <w:ind w:left="0"/>
              <w:jc w:val="center"/>
              <w:rPr>
                <w:i/>
                <w:vertAlign w:val="subscript"/>
                <w:lang w:val="en-GB"/>
              </w:rPr>
            </w:pPr>
            <w:proofErr w:type="spellStart"/>
            <w:r w:rsidRPr="00642746">
              <w:rPr>
                <w:i/>
                <w:lang w:val="en-GB"/>
              </w:rPr>
              <w:t>A</w:t>
            </w:r>
            <w:r w:rsidRPr="00642746">
              <w:rPr>
                <w:i/>
                <w:vertAlign w:val="subscript"/>
                <w:lang w:val="en-GB"/>
              </w:rPr>
              <w:t>k</w:t>
            </w:r>
            <w:proofErr w:type="spellEnd"/>
          </w:p>
        </w:tc>
      </w:tr>
      <w:tr w:rsidR="00EE5865" w:rsidRPr="00642746" w:rsidTr="00682BF7">
        <w:tc>
          <w:tcPr>
            <w:tcW w:w="1708" w:type="dxa"/>
            <w:tcBorders>
              <w:top w:val="single" w:sz="12" w:space="0" w:color="auto"/>
            </w:tcBorders>
          </w:tcPr>
          <w:p w:rsidR="00EE5865" w:rsidRPr="00642746" w:rsidRDefault="00EE5865" w:rsidP="00682BF7">
            <w:pPr>
              <w:pStyle w:val="Odstavecseseznamem"/>
              <w:ind w:left="0"/>
              <w:jc w:val="center"/>
              <w:rPr>
                <w:lang w:val="en-GB"/>
              </w:rPr>
            </w:pPr>
            <w:r w:rsidRPr="00642746">
              <w:rPr>
                <w:lang w:val="en-GB"/>
              </w:rPr>
              <w:t>1</w:t>
            </w:r>
          </w:p>
        </w:tc>
        <w:tc>
          <w:tcPr>
            <w:tcW w:w="1726" w:type="dxa"/>
            <w:tcBorders>
              <w:top w:val="single" w:sz="12" w:space="0" w:color="auto"/>
            </w:tcBorders>
          </w:tcPr>
          <w:p w:rsidR="00EE5865" w:rsidRPr="00642746" w:rsidRDefault="00EE5865" w:rsidP="00682BF7">
            <w:pPr>
              <w:pStyle w:val="Odstavecseseznamem"/>
              <w:ind w:left="0"/>
              <w:jc w:val="center"/>
              <w:rPr>
                <w:lang w:val="en-GB"/>
              </w:rPr>
            </w:pPr>
            <w:r w:rsidRPr="00642746">
              <w:rPr>
                <w:lang w:val="en-GB"/>
              </w:rPr>
              <w:t>10</w:t>
            </w:r>
          </w:p>
        </w:tc>
        <w:tc>
          <w:tcPr>
            <w:tcW w:w="1710" w:type="dxa"/>
            <w:tcBorders>
              <w:top w:val="single" w:sz="12" w:space="0" w:color="auto"/>
            </w:tcBorders>
          </w:tcPr>
          <w:p w:rsidR="00EE5865" w:rsidRPr="00642746" w:rsidRDefault="00EE5865" w:rsidP="00682BF7">
            <w:pPr>
              <w:pStyle w:val="Odstavecseseznamem"/>
              <w:ind w:left="0"/>
              <w:jc w:val="center"/>
              <w:rPr>
                <w:lang w:val="en-GB"/>
              </w:rPr>
            </w:pPr>
          </w:p>
        </w:tc>
        <w:tc>
          <w:tcPr>
            <w:tcW w:w="1703" w:type="dxa"/>
            <w:tcBorders>
              <w:top w:val="single" w:sz="12" w:space="0" w:color="auto"/>
            </w:tcBorders>
          </w:tcPr>
          <w:p w:rsidR="00EE5865" w:rsidRPr="00642746" w:rsidRDefault="00EE5865" w:rsidP="00682BF7">
            <w:pPr>
              <w:pStyle w:val="Odstavecseseznamem"/>
              <w:ind w:left="0"/>
              <w:jc w:val="center"/>
              <w:rPr>
                <w:lang w:val="en-GB"/>
              </w:rPr>
            </w:pPr>
          </w:p>
        </w:tc>
        <w:tc>
          <w:tcPr>
            <w:tcW w:w="1739" w:type="dxa"/>
            <w:tcBorders>
              <w:top w:val="single" w:sz="12" w:space="0" w:color="auto"/>
            </w:tcBorders>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2</w:t>
            </w:r>
          </w:p>
        </w:tc>
        <w:tc>
          <w:tcPr>
            <w:tcW w:w="1726" w:type="dxa"/>
          </w:tcPr>
          <w:p w:rsidR="00EE5865" w:rsidRPr="00642746" w:rsidRDefault="00EE5865" w:rsidP="00682BF7">
            <w:pPr>
              <w:pStyle w:val="Odstavecseseznamem"/>
              <w:ind w:left="0"/>
              <w:jc w:val="center"/>
              <w:rPr>
                <w:lang w:val="en-GB"/>
              </w:rPr>
            </w:pPr>
            <w:r w:rsidRPr="00642746">
              <w:rPr>
                <w:lang w:val="en-GB"/>
              </w:rPr>
              <w:t>32</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3</w:t>
            </w:r>
          </w:p>
        </w:tc>
        <w:tc>
          <w:tcPr>
            <w:tcW w:w="1726" w:type="dxa"/>
          </w:tcPr>
          <w:p w:rsidR="00EE5865" w:rsidRPr="00642746" w:rsidRDefault="00EE5865" w:rsidP="00682BF7">
            <w:pPr>
              <w:pStyle w:val="Odstavecseseznamem"/>
              <w:ind w:left="0"/>
              <w:jc w:val="center"/>
              <w:rPr>
                <w:lang w:val="en-GB"/>
              </w:rPr>
            </w:pPr>
            <w:r w:rsidRPr="00642746">
              <w:rPr>
                <w:lang w:val="en-GB"/>
              </w:rPr>
              <w:t>100</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4</w:t>
            </w:r>
          </w:p>
        </w:tc>
        <w:tc>
          <w:tcPr>
            <w:tcW w:w="1726" w:type="dxa"/>
          </w:tcPr>
          <w:p w:rsidR="00EE5865" w:rsidRPr="00642746" w:rsidRDefault="00EE5865" w:rsidP="00682BF7">
            <w:pPr>
              <w:pStyle w:val="Odstavecseseznamem"/>
              <w:ind w:left="0"/>
              <w:jc w:val="center"/>
              <w:rPr>
                <w:lang w:val="en-GB"/>
              </w:rPr>
            </w:pPr>
            <w:r w:rsidRPr="00642746">
              <w:rPr>
                <w:lang w:val="en-GB"/>
              </w:rPr>
              <w:t>317</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5</w:t>
            </w:r>
          </w:p>
        </w:tc>
        <w:tc>
          <w:tcPr>
            <w:tcW w:w="1726" w:type="dxa"/>
          </w:tcPr>
          <w:p w:rsidR="00EE5865" w:rsidRPr="00642746" w:rsidRDefault="00EE5865" w:rsidP="00682BF7">
            <w:pPr>
              <w:pStyle w:val="Odstavecseseznamem"/>
              <w:ind w:left="0"/>
              <w:jc w:val="center"/>
              <w:rPr>
                <w:lang w:val="en-GB"/>
              </w:rPr>
            </w:pPr>
            <w:r w:rsidRPr="00642746">
              <w:rPr>
                <w:lang w:val="en-GB"/>
              </w:rPr>
              <w:t>1000</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6</w:t>
            </w:r>
          </w:p>
        </w:tc>
        <w:tc>
          <w:tcPr>
            <w:tcW w:w="1726" w:type="dxa"/>
          </w:tcPr>
          <w:p w:rsidR="00EE5865" w:rsidRPr="00642746" w:rsidRDefault="00EE5865" w:rsidP="00682BF7">
            <w:pPr>
              <w:pStyle w:val="Odstavecseseznamem"/>
              <w:ind w:left="0"/>
              <w:jc w:val="center"/>
              <w:rPr>
                <w:lang w:val="en-GB"/>
              </w:rPr>
            </w:pPr>
            <w:r w:rsidRPr="00642746">
              <w:rPr>
                <w:lang w:val="en-GB"/>
              </w:rPr>
              <w:t>3163</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7</w:t>
            </w:r>
          </w:p>
        </w:tc>
        <w:tc>
          <w:tcPr>
            <w:tcW w:w="1726" w:type="dxa"/>
          </w:tcPr>
          <w:p w:rsidR="00EE5865" w:rsidRPr="00642746" w:rsidRDefault="00EE5865" w:rsidP="00682BF7">
            <w:pPr>
              <w:pStyle w:val="Odstavecseseznamem"/>
              <w:ind w:left="0"/>
              <w:jc w:val="center"/>
              <w:rPr>
                <w:lang w:val="en-GB"/>
              </w:rPr>
            </w:pPr>
            <w:r w:rsidRPr="00642746">
              <w:rPr>
                <w:lang w:val="en-GB"/>
              </w:rPr>
              <w:t>10000</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8</w:t>
            </w:r>
          </w:p>
        </w:tc>
        <w:tc>
          <w:tcPr>
            <w:tcW w:w="1726" w:type="dxa"/>
          </w:tcPr>
          <w:p w:rsidR="00EE5865" w:rsidRPr="00642746" w:rsidRDefault="00EE5865" w:rsidP="00682BF7">
            <w:pPr>
              <w:pStyle w:val="Odstavecseseznamem"/>
              <w:ind w:left="0"/>
              <w:jc w:val="center"/>
              <w:rPr>
                <w:lang w:val="en-GB"/>
              </w:rPr>
            </w:pPr>
            <w:r w:rsidRPr="00642746">
              <w:rPr>
                <w:lang w:val="en-GB"/>
              </w:rPr>
              <w:t>31623</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9</w:t>
            </w:r>
          </w:p>
        </w:tc>
        <w:tc>
          <w:tcPr>
            <w:tcW w:w="1726" w:type="dxa"/>
          </w:tcPr>
          <w:p w:rsidR="00EE5865" w:rsidRPr="00642746" w:rsidRDefault="00EE5865" w:rsidP="00682BF7">
            <w:pPr>
              <w:pStyle w:val="Odstavecseseznamem"/>
              <w:ind w:left="0"/>
              <w:jc w:val="center"/>
              <w:rPr>
                <w:lang w:val="en-GB"/>
              </w:rPr>
            </w:pPr>
            <w:r w:rsidRPr="00642746">
              <w:rPr>
                <w:lang w:val="en-GB"/>
              </w:rPr>
              <w:t>100000</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r w:rsidR="00EE5865" w:rsidRPr="00642746" w:rsidTr="00682BF7">
        <w:tc>
          <w:tcPr>
            <w:tcW w:w="1708" w:type="dxa"/>
          </w:tcPr>
          <w:p w:rsidR="00EE5865" w:rsidRPr="00642746" w:rsidRDefault="00EE5865" w:rsidP="00682BF7">
            <w:pPr>
              <w:pStyle w:val="Odstavecseseznamem"/>
              <w:ind w:left="0"/>
              <w:jc w:val="center"/>
              <w:rPr>
                <w:lang w:val="en-GB"/>
              </w:rPr>
            </w:pPr>
            <w:r w:rsidRPr="00642746">
              <w:rPr>
                <w:lang w:val="en-GB"/>
              </w:rPr>
              <w:t>10</w:t>
            </w:r>
          </w:p>
        </w:tc>
        <w:tc>
          <w:tcPr>
            <w:tcW w:w="1726" w:type="dxa"/>
          </w:tcPr>
          <w:p w:rsidR="00EE5865" w:rsidRPr="00642746" w:rsidRDefault="00EE5865" w:rsidP="00682BF7">
            <w:pPr>
              <w:pStyle w:val="Odstavecseseznamem"/>
              <w:ind w:left="0"/>
              <w:jc w:val="center"/>
              <w:rPr>
                <w:lang w:val="en-GB"/>
              </w:rPr>
            </w:pPr>
            <w:r w:rsidRPr="00642746">
              <w:rPr>
                <w:lang w:val="en-GB"/>
              </w:rPr>
              <w:t>316228</w:t>
            </w:r>
          </w:p>
        </w:tc>
        <w:tc>
          <w:tcPr>
            <w:tcW w:w="1710" w:type="dxa"/>
          </w:tcPr>
          <w:p w:rsidR="00EE5865" w:rsidRPr="00642746" w:rsidRDefault="00EE5865" w:rsidP="00682BF7">
            <w:pPr>
              <w:pStyle w:val="Odstavecseseznamem"/>
              <w:ind w:left="0"/>
              <w:jc w:val="center"/>
              <w:rPr>
                <w:lang w:val="en-GB"/>
              </w:rPr>
            </w:pPr>
          </w:p>
        </w:tc>
        <w:tc>
          <w:tcPr>
            <w:tcW w:w="1703" w:type="dxa"/>
          </w:tcPr>
          <w:p w:rsidR="00EE5865" w:rsidRPr="00642746" w:rsidRDefault="00EE5865" w:rsidP="00682BF7">
            <w:pPr>
              <w:pStyle w:val="Odstavecseseznamem"/>
              <w:ind w:left="0"/>
              <w:jc w:val="center"/>
              <w:rPr>
                <w:lang w:val="en-GB"/>
              </w:rPr>
            </w:pPr>
          </w:p>
        </w:tc>
        <w:tc>
          <w:tcPr>
            <w:tcW w:w="1739" w:type="dxa"/>
          </w:tcPr>
          <w:p w:rsidR="00EE5865" w:rsidRPr="00642746" w:rsidRDefault="00EE5865" w:rsidP="00682BF7">
            <w:pPr>
              <w:pStyle w:val="Odstavecseseznamem"/>
              <w:ind w:left="0"/>
              <w:jc w:val="center"/>
              <w:rPr>
                <w:lang w:val="en-GB"/>
              </w:rPr>
            </w:pPr>
          </w:p>
        </w:tc>
      </w:tr>
    </w:tbl>
    <w:p w:rsidR="00EE5865" w:rsidRPr="00642746" w:rsidRDefault="00EE5865" w:rsidP="00EE5865">
      <w:pPr>
        <w:pStyle w:val="Odstavecseseznamem"/>
        <w:ind w:left="426"/>
        <w:rPr>
          <w:vertAlign w:val="superscript"/>
          <w:lang w:val="en-GB"/>
        </w:rPr>
      </w:pPr>
      <w:r w:rsidRPr="00642746">
        <w:rPr>
          <w:lang w:val="en-GB"/>
        </w:rPr>
        <w:t xml:space="preserve">Table 1: </w:t>
      </w:r>
      <w:r w:rsidR="00E53148" w:rsidRPr="00642746">
        <w:rPr>
          <w:lang w:val="en-GB"/>
        </w:rPr>
        <w:t>S</w:t>
      </w:r>
      <w:r w:rsidRPr="00642746">
        <w:rPr>
          <w:lang w:val="en-GB"/>
        </w:rPr>
        <w:t xml:space="preserve">ize </w:t>
      </w:r>
      <w:r w:rsidR="00E53148" w:rsidRPr="00642746">
        <w:rPr>
          <w:lang w:val="en-GB"/>
        </w:rPr>
        <w:t>categorie</w:t>
      </w:r>
      <w:r w:rsidRPr="00642746">
        <w:rPr>
          <w:lang w:val="en-GB"/>
        </w:rPr>
        <w:t xml:space="preserve">s of pores according to their minimum number of voxels, </w:t>
      </w:r>
      <w:r w:rsidRPr="00642746">
        <w:rPr>
          <w:i/>
          <w:lang w:val="en-GB"/>
        </w:rPr>
        <w:t>C</w:t>
      </w:r>
      <w:r w:rsidRPr="00642746">
        <w:rPr>
          <w:i/>
          <w:vertAlign w:val="subscript"/>
          <w:lang w:val="en-GB"/>
        </w:rPr>
        <w:t>k</w:t>
      </w:r>
      <w:r w:rsidR="009F3C18" w:rsidRPr="00642746">
        <w:rPr>
          <w:lang w:val="en-GB"/>
        </w:rPr>
        <w:t>≥</w:t>
      </w:r>
      <w:r w:rsidRPr="00642746">
        <w:rPr>
          <w:lang w:val="en-GB"/>
        </w:rPr>
        <w:t>10</w:t>
      </w:r>
      <w:r w:rsidRPr="00642746">
        <w:rPr>
          <w:vertAlign w:val="superscript"/>
          <w:lang w:val="en-GB"/>
        </w:rPr>
        <w:t>(1/2+</w:t>
      </w:r>
      <w:r w:rsidRPr="00642746">
        <w:rPr>
          <w:i/>
          <w:vertAlign w:val="superscript"/>
          <w:lang w:val="en-GB"/>
        </w:rPr>
        <w:t>k</w:t>
      </w:r>
      <w:r w:rsidRPr="00642746">
        <w:rPr>
          <w:vertAlign w:val="superscript"/>
          <w:lang w:val="en-GB"/>
        </w:rPr>
        <w:t>/2)</w:t>
      </w:r>
    </w:p>
    <w:p w:rsidR="00EE5865" w:rsidRPr="00642746" w:rsidRDefault="00EE5865" w:rsidP="00EE5865">
      <w:pPr>
        <w:pStyle w:val="Odstavecseseznamem"/>
        <w:ind w:left="426"/>
        <w:rPr>
          <w:lang w:val="en-GB"/>
        </w:rPr>
      </w:pPr>
    </w:p>
    <w:p w:rsidR="0085661E" w:rsidRPr="00642746" w:rsidRDefault="00E53148" w:rsidP="00E53148">
      <w:pPr>
        <w:pStyle w:val="Odstavecseseznamem"/>
        <w:numPr>
          <w:ilvl w:val="0"/>
          <w:numId w:val="5"/>
        </w:numPr>
        <w:ind w:left="426" w:hanging="426"/>
        <w:rPr>
          <w:rFonts w:eastAsiaTheme="minorEastAsia"/>
          <w:lang w:val="en-GB"/>
        </w:rPr>
      </w:pPr>
      <w:r w:rsidRPr="00642746">
        <w:rPr>
          <w:lang w:val="en-GB"/>
        </w:rPr>
        <w:t xml:space="preserve">The efficient resolution </w:t>
      </w:r>
      <w:r w:rsidRPr="00642746">
        <w:rPr>
          <w:i/>
          <w:lang w:val="en-GB"/>
        </w:rPr>
        <w:t>R</w:t>
      </w:r>
      <w:r w:rsidRPr="00642746">
        <w:rPr>
          <w:lang w:val="en-GB"/>
        </w:rPr>
        <w:t xml:space="preserve"> in micrometres is calculated from values of Table 1 according to following formula:</w:t>
      </w:r>
    </w:p>
    <w:p w:rsidR="005E40F6" w:rsidRPr="00642746" w:rsidRDefault="00E53148" w:rsidP="0085661E">
      <w:pPr>
        <w:pStyle w:val="Odstavecseseznamem"/>
        <w:ind w:left="426"/>
        <w:jc w:val="center"/>
        <w:rPr>
          <w:rFonts w:eastAsiaTheme="minorEastAsia"/>
          <w:lang w:val="en-GB"/>
        </w:rPr>
      </w:pPr>
      <m:oMath>
        <m:r>
          <w:rPr>
            <w:rFonts w:ascii="Cambria Math" w:hAnsi="Cambria Math"/>
            <w:lang w:val="en-GB"/>
          </w:rPr>
          <m:t xml:space="preserve"> R=</m:t>
        </m:r>
        <m:rad>
          <m:radPr>
            <m:ctrlPr>
              <w:rPr>
                <w:rFonts w:ascii="Cambria Math" w:hAnsi="Cambria Math"/>
                <w:i/>
                <w:lang w:val="en-GB"/>
              </w:rPr>
            </m:ctrlPr>
          </m:radPr>
          <m:deg>
            <m:r>
              <w:rPr>
                <w:rFonts w:ascii="Cambria Math" w:hAnsi="Cambria Math"/>
                <w:lang w:val="en-GB"/>
              </w:rPr>
              <m:t>3</m:t>
            </m:r>
          </m:deg>
          <m:e>
            <m:f>
              <m:fPr>
                <m:ctrlPr>
                  <w:rPr>
                    <w:rFonts w:ascii="Cambria Math" w:hAnsi="Cambria Math"/>
                    <w:i/>
                    <w:lang w:val="en-GB"/>
                  </w:rPr>
                </m:ctrlPr>
              </m:fPr>
              <m:num>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9</m:t>
                    </m:r>
                  </m:sup>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k</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k</m:t>
                        </m:r>
                      </m:sub>
                    </m:sSub>
                  </m:e>
                </m:nary>
              </m:num>
              <m:den>
                <m:nary>
                  <m:naryPr>
                    <m:chr m:val="∑"/>
                    <m:limLoc m:val="undOvr"/>
                    <m:ctrlPr>
                      <w:rPr>
                        <w:rFonts w:ascii="Cambria Math" w:hAnsi="Cambria Math"/>
                        <w:i/>
                        <w:lang w:val="en-GB"/>
                      </w:rPr>
                    </m:ctrlPr>
                  </m:naryPr>
                  <m:sub>
                    <m:r>
                      <w:rPr>
                        <w:rFonts w:ascii="Cambria Math" w:hAnsi="Cambria Math"/>
                        <w:lang w:val="en-GB"/>
                      </w:rPr>
                      <m:t>k=1</m:t>
                    </m:r>
                  </m:sub>
                  <m:sup>
                    <m:r>
                      <w:rPr>
                        <w:rFonts w:ascii="Cambria Math" w:hAnsi="Cambria Math"/>
                        <w:lang w:val="en-GB"/>
                      </w:rPr>
                      <m:t>9</m:t>
                    </m:r>
                  </m:sup>
                  <m:e>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k+1</m:t>
                        </m:r>
                      </m:sub>
                    </m:sSub>
                    <m:r>
                      <w:rPr>
                        <w:rFonts w:ascii="Cambria Math" w:hAnsi="Cambria Math"/>
                        <w:lang w:val="en-GB"/>
                      </w:rPr>
                      <m:t>)</m:t>
                    </m:r>
                  </m:e>
                </m:nary>
              </m:den>
            </m:f>
          </m:e>
        </m:rad>
      </m:oMath>
      <w:r w:rsidR="005E40F6" w:rsidRPr="00642746">
        <w:rPr>
          <w:rFonts w:eastAsiaTheme="minorEastAsia"/>
          <w:lang w:val="en-GB"/>
        </w:rPr>
        <w:t>,</w:t>
      </w:r>
    </w:p>
    <w:p w:rsidR="005E40F6" w:rsidRPr="00642746" w:rsidRDefault="0085661E" w:rsidP="005E40F6">
      <w:pPr>
        <w:rPr>
          <w:rFonts w:eastAsiaTheme="minorEastAsia"/>
          <w:lang w:val="en-GB"/>
        </w:rPr>
      </w:pPr>
      <w:r w:rsidRPr="00642746">
        <w:rPr>
          <w:rFonts w:eastAsiaTheme="minorEastAsia"/>
          <w:lang w:val="en-GB"/>
        </w:rPr>
        <w:t xml:space="preserve">Where </w:t>
      </w:r>
      <w:r w:rsidR="00D738EC" w:rsidRPr="00642746">
        <w:rPr>
          <w:rFonts w:eastAsiaTheme="minorEastAsia"/>
          <w:lang w:val="en-GB"/>
        </w:rPr>
        <w:t>contrast</w:t>
      </w:r>
      <w:r w:rsidR="00D738EC">
        <w:rPr>
          <w:rFonts w:eastAsiaTheme="minorEastAsia"/>
          <w:lang w:val="en-GB"/>
        </w:rPr>
        <w:t xml:space="preserve"> </w:t>
      </w:r>
      <w:r w:rsidR="009F2989">
        <w:rPr>
          <w:rFonts w:eastAsiaTheme="minorEastAsia"/>
          <w:lang w:val="en-GB"/>
        </w:rPr>
        <w:t xml:space="preserve"> </w:t>
      </w:r>
      <m:oMath>
        <m:sSub>
          <m:sSubPr>
            <m:ctrlPr>
              <w:rPr>
                <w:rFonts w:ascii="Cambria Math" w:eastAsiaTheme="minorEastAsia" w:hAnsi="Cambria Math"/>
                <w:i/>
                <w:lang w:val="en-GB"/>
              </w:rPr>
            </m:ctrlPr>
          </m:sSubPr>
          <m:e>
            <m:r>
              <w:rPr>
                <w:rFonts w:ascii="Cambria Math" w:eastAsiaTheme="minorEastAsia" w:hAnsi="Cambria Math"/>
                <w:lang w:val="en-GB"/>
              </w:rPr>
              <m:t>G</m:t>
            </m:r>
          </m:e>
          <m:sub>
            <m:r>
              <w:rPr>
                <w:rFonts w:ascii="Cambria Math" w:eastAsiaTheme="minorEastAsia" w:hAnsi="Cambria Math"/>
                <w:lang w:val="en-GB"/>
              </w:rPr>
              <m:t>k</m:t>
            </m:r>
          </m:sub>
        </m:sSub>
        <m:r>
          <w:rPr>
            <w:rFonts w:ascii="Cambria Math" w:eastAsiaTheme="minorEastAsia"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0</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k</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k+1</m:t>
                </m:r>
              </m:sub>
            </m:sSub>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k+1</m:t>
                </m:r>
              </m:sub>
            </m:sSub>
          </m:num>
          <m:den>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k</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k+1</m:t>
                </m:r>
              </m:sub>
            </m:sSub>
          </m:den>
        </m:f>
      </m:oMath>
      <w:r w:rsidR="005E40F6" w:rsidRPr="00642746">
        <w:rPr>
          <w:rFonts w:eastAsiaTheme="minorEastAsia"/>
          <w:lang w:val="en-GB"/>
        </w:rPr>
        <w:t xml:space="preserve">. </w:t>
      </w:r>
      <w:r w:rsidR="00793D57" w:rsidRPr="00642746">
        <w:rPr>
          <w:rFonts w:eastAsiaTheme="minorEastAsia"/>
          <w:lang w:val="en-GB"/>
        </w:rPr>
        <w:t>If any</w:t>
      </w:r>
      <w:r w:rsidRPr="00642746">
        <w:rPr>
          <w:rFonts w:eastAsiaTheme="minorEastAsia"/>
          <w:lang w:val="en-GB"/>
        </w:rPr>
        <w:t xml:space="preserve"> </w:t>
      </w:r>
      <w:proofErr w:type="spellStart"/>
      <w:r w:rsidR="005E40F6" w:rsidRPr="00642746">
        <w:rPr>
          <w:rFonts w:eastAsiaTheme="minorEastAsia"/>
          <w:i/>
          <w:lang w:val="en-GB"/>
        </w:rPr>
        <w:t>V</w:t>
      </w:r>
      <w:r w:rsidR="005E40F6" w:rsidRPr="00642746">
        <w:rPr>
          <w:rFonts w:eastAsiaTheme="minorEastAsia"/>
          <w:i/>
          <w:vertAlign w:val="subscript"/>
          <w:lang w:val="en-GB"/>
        </w:rPr>
        <w:t>k</w:t>
      </w:r>
      <w:proofErr w:type="spellEnd"/>
      <w:r w:rsidR="005E40F6" w:rsidRPr="00642746">
        <w:rPr>
          <w:rFonts w:eastAsiaTheme="minorEastAsia"/>
          <w:lang w:val="en-GB"/>
        </w:rPr>
        <w:t>=</w:t>
      </w:r>
      <w:r w:rsidR="005E40F6" w:rsidRPr="00642746">
        <w:rPr>
          <w:rFonts w:eastAsiaTheme="minorEastAsia"/>
          <w:i/>
          <w:lang w:val="en-GB"/>
        </w:rPr>
        <w:t>V</w:t>
      </w:r>
      <w:r w:rsidR="005E40F6" w:rsidRPr="00642746">
        <w:rPr>
          <w:rFonts w:eastAsiaTheme="minorEastAsia"/>
          <w:i/>
          <w:vertAlign w:val="subscript"/>
          <w:lang w:val="en-GB"/>
        </w:rPr>
        <w:t>k</w:t>
      </w:r>
      <w:r w:rsidR="005E40F6" w:rsidRPr="00642746">
        <w:rPr>
          <w:rFonts w:eastAsiaTheme="minorEastAsia"/>
          <w:vertAlign w:val="subscript"/>
          <w:lang w:val="en-GB"/>
        </w:rPr>
        <w:t>+1</w:t>
      </w:r>
      <w:r w:rsidRPr="00642746">
        <w:rPr>
          <w:rFonts w:eastAsiaTheme="minorEastAsia"/>
          <w:lang w:val="en-GB"/>
        </w:rPr>
        <w:t>, then</w:t>
      </w:r>
      <w:r w:rsidR="005E40F6" w:rsidRPr="00642746">
        <w:rPr>
          <w:rFonts w:eastAsiaTheme="minorEastAsia"/>
          <w:lang w:val="en-GB"/>
        </w:rPr>
        <w:t xml:space="preserve"> </w:t>
      </w:r>
      <w:proofErr w:type="spellStart"/>
      <w:r w:rsidR="005E40F6" w:rsidRPr="00642746">
        <w:rPr>
          <w:rFonts w:eastAsiaTheme="minorEastAsia"/>
          <w:i/>
          <w:lang w:val="en-GB"/>
        </w:rPr>
        <w:t>G</w:t>
      </w:r>
      <w:r w:rsidR="005E40F6" w:rsidRPr="00642746">
        <w:rPr>
          <w:rFonts w:eastAsiaTheme="minorEastAsia"/>
          <w:i/>
          <w:vertAlign w:val="subscript"/>
          <w:lang w:val="en-GB"/>
        </w:rPr>
        <w:t>k</w:t>
      </w:r>
      <w:proofErr w:type="spellEnd"/>
      <w:r w:rsidR="005E40F6" w:rsidRPr="00642746">
        <w:rPr>
          <w:rFonts w:eastAsiaTheme="minorEastAsia"/>
          <w:lang w:val="en-GB"/>
        </w:rPr>
        <w:t xml:space="preserve"> </w:t>
      </w:r>
      <w:r w:rsidRPr="00642746">
        <w:rPr>
          <w:rFonts w:eastAsiaTheme="minorEastAsia"/>
          <w:lang w:val="en-GB"/>
        </w:rPr>
        <w:t>is equal to</w:t>
      </w:r>
      <w:r w:rsidR="005E40F6" w:rsidRPr="00642746">
        <w:rPr>
          <w:rFonts w:eastAsiaTheme="minorEastAsia"/>
          <w:lang w:val="en-GB"/>
        </w:rPr>
        <w:t xml:space="preserve"> </w:t>
      </w:r>
      <w:r w:rsidR="005E40F6" w:rsidRPr="00642746">
        <w:rPr>
          <w:rFonts w:eastAsiaTheme="minorEastAsia"/>
          <w:i/>
          <w:lang w:val="en-GB"/>
        </w:rPr>
        <w:t>G</w:t>
      </w:r>
      <w:r w:rsidR="005E40F6" w:rsidRPr="00642746">
        <w:rPr>
          <w:rFonts w:eastAsiaTheme="minorEastAsia"/>
          <w:i/>
          <w:vertAlign w:val="subscript"/>
          <w:lang w:val="en-GB"/>
        </w:rPr>
        <w:t>k</w:t>
      </w:r>
      <w:r w:rsidR="005E40F6" w:rsidRPr="00642746">
        <w:rPr>
          <w:rFonts w:eastAsiaTheme="minorEastAsia"/>
          <w:vertAlign w:val="subscript"/>
          <w:lang w:val="en-GB"/>
        </w:rPr>
        <w:t>-1</w:t>
      </w:r>
      <w:r w:rsidR="00793D57" w:rsidRPr="00642746">
        <w:rPr>
          <w:rFonts w:eastAsiaTheme="minorEastAsia"/>
          <w:lang w:val="en-GB"/>
        </w:rPr>
        <w:t xml:space="preserve"> (previous result).</w:t>
      </w:r>
    </w:p>
    <w:p w:rsidR="0085661E" w:rsidRPr="00642746" w:rsidRDefault="0085661E" w:rsidP="00EE5865">
      <w:pPr>
        <w:rPr>
          <w:rFonts w:eastAsiaTheme="minorEastAsia"/>
          <w:lang w:val="en-GB"/>
        </w:rPr>
      </w:pPr>
      <w:r w:rsidRPr="00642746">
        <w:rPr>
          <w:rFonts w:eastAsiaTheme="minorEastAsia"/>
          <w:lang w:val="en-GB"/>
        </w:rPr>
        <w:t xml:space="preserve">The vendor either fills Table 1 </w:t>
      </w:r>
      <w:r w:rsidR="00254A50" w:rsidRPr="00642746">
        <w:rPr>
          <w:rFonts w:eastAsiaTheme="minorEastAsia"/>
          <w:lang w:val="en-GB"/>
        </w:rPr>
        <w:t xml:space="preserve">and specifies the values </w:t>
      </w:r>
      <w:r w:rsidR="00254A50" w:rsidRPr="00642746">
        <w:rPr>
          <w:rFonts w:eastAsiaTheme="minorEastAsia"/>
          <w:i/>
          <w:lang w:val="en-GB"/>
        </w:rPr>
        <w:t>A</w:t>
      </w:r>
      <w:r w:rsidR="00254A50" w:rsidRPr="00642746">
        <w:rPr>
          <w:rFonts w:eastAsiaTheme="minorEastAsia"/>
          <w:vertAlign w:val="subscript"/>
          <w:lang w:val="en-GB"/>
        </w:rPr>
        <w:t>0</w:t>
      </w:r>
      <w:r w:rsidR="00254A50" w:rsidRPr="00642746">
        <w:rPr>
          <w:rFonts w:eastAsiaTheme="minorEastAsia"/>
          <w:lang w:val="en-GB"/>
        </w:rPr>
        <w:t xml:space="preserve"> and </w:t>
      </w:r>
      <w:r w:rsidR="00254A50" w:rsidRPr="00642746">
        <w:rPr>
          <w:rFonts w:eastAsiaTheme="minorEastAsia"/>
          <w:i/>
          <w:lang w:val="en-GB"/>
        </w:rPr>
        <w:t>V</w:t>
      </w:r>
      <w:r w:rsidR="00254A50" w:rsidRPr="00642746">
        <w:rPr>
          <w:rFonts w:eastAsiaTheme="minorEastAsia"/>
          <w:vertAlign w:val="subscript"/>
          <w:lang w:val="en-GB"/>
        </w:rPr>
        <w:t>0</w:t>
      </w:r>
      <w:r w:rsidR="00254A50" w:rsidRPr="00642746">
        <w:rPr>
          <w:rFonts w:eastAsiaTheme="minorEastAsia"/>
          <w:lang w:val="en-GB"/>
        </w:rPr>
        <w:t xml:space="preserve"> </w:t>
      </w:r>
      <w:r w:rsidRPr="00642746">
        <w:rPr>
          <w:rFonts w:eastAsiaTheme="minorEastAsia"/>
          <w:lang w:val="en-GB"/>
        </w:rPr>
        <w:t xml:space="preserve">providing the values of </w:t>
      </w:r>
      <w:proofErr w:type="spellStart"/>
      <w:r w:rsidRPr="00642746">
        <w:rPr>
          <w:rFonts w:eastAsiaTheme="minorEastAsia"/>
          <w:i/>
          <w:lang w:val="en-GB"/>
        </w:rPr>
        <w:t>V</w:t>
      </w:r>
      <w:r w:rsidRPr="00642746">
        <w:rPr>
          <w:rFonts w:eastAsiaTheme="minorEastAsia"/>
          <w:i/>
          <w:vertAlign w:val="subscript"/>
          <w:lang w:val="en-GB"/>
        </w:rPr>
        <w:t>k</w:t>
      </w:r>
      <w:proofErr w:type="spellEnd"/>
      <w:r w:rsidRPr="00642746">
        <w:rPr>
          <w:rFonts w:eastAsiaTheme="minorEastAsia"/>
          <w:lang w:val="en-GB"/>
        </w:rPr>
        <w:t xml:space="preserve"> are given </w:t>
      </w:r>
      <w:r w:rsidR="00793D57" w:rsidRPr="00642746">
        <w:rPr>
          <w:rFonts w:eastAsiaTheme="minorEastAsia"/>
          <w:lang w:val="en-GB"/>
        </w:rPr>
        <w:t>as</w:t>
      </w:r>
      <w:r w:rsidRPr="00642746">
        <w:rPr>
          <w:rFonts w:eastAsiaTheme="minorEastAsia"/>
          <w:lang w:val="en-GB"/>
        </w:rPr>
        <w:t xml:space="preserve"> </w:t>
      </w:r>
      <w:r w:rsidR="00793D57" w:rsidRPr="00642746">
        <w:rPr>
          <w:rFonts w:eastAsiaTheme="minorEastAsia"/>
          <w:lang w:val="en-GB"/>
        </w:rPr>
        <w:t xml:space="preserve">integer in cubic micrometres and the calculation of value </w:t>
      </w:r>
      <w:r w:rsidR="00793D57" w:rsidRPr="00642746">
        <w:rPr>
          <w:rFonts w:eastAsiaTheme="minorEastAsia"/>
          <w:i/>
          <w:lang w:val="en-GB"/>
        </w:rPr>
        <w:t>R</w:t>
      </w:r>
      <w:r w:rsidR="00793D57" w:rsidRPr="00642746">
        <w:rPr>
          <w:rFonts w:eastAsiaTheme="minorEastAsia"/>
          <w:lang w:val="en-GB"/>
        </w:rPr>
        <w:t xml:space="preserve"> will be performed by purchaser, or </w:t>
      </w:r>
      <w:r w:rsidR="00BF2012" w:rsidRPr="00642746">
        <w:rPr>
          <w:rFonts w:eastAsiaTheme="minorEastAsia"/>
          <w:lang w:val="en-GB"/>
        </w:rPr>
        <w:t>the vendor</w:t>
      </w:r>
      <w:r w:rsidR="00793D57" w:rsidRPr="00642746">
        <w:rPr>
          <w:rFonts w:eastAsiaTheme="minorEastAsia"/>
          <w:lang w:val="en-GB"/>
        </w:rPr>
        <w:t xml:space="preserve"> fill</w:t>
      </w:r>
      <w:r w:rsidR="00BF2012" w:rsidRPr="00642746">
        <w:rPr>
          <w:rFonts w:eastAsiaTheme="minorEastAsia"/>
          <w:lang w:val="en-GB"/>
        </w:rPr>
        <w:t>s</w:t>
      </w:r>
      <w:r w:rsidR="00793D57" w:rsidRPr="00642746">
        <w:rPr>
          <w:rFonts w:eastAsiaTheme="minorEastAsia"/>
          <w:lang w:val="en-GB"/>
        </w:rPr>
        <w:t xml:space="preserve"> Table 1</w:t>
      </w:r>
      <w:r w:rsidR="00254A50" w:rsidRPr="00642746">
        <w:rPr>
          <w:rFonts w:eastAsiaTheme="minorEastAsia"/>
          <w:lang w:val="en-GB"/>
        </w:rPr>
        <w:t xml:space="preserve">, specifies the values </w:t>
      </w:r>
      <w:r w:rsidR="00254A50" w:rsidRPr="00642746">
        <w:rPr>
          <w:rFonts w:eastAsiaTheme="minorEastAsia"/>
          <w:i/>
          <w:lang w:val="en-GB"/>
        </w:rPr>
        <w:t>A</w:t>
      </w:r>
      <w:r w:rsidR="00254A50" w:rsidRPr="00642746">
        <w:rPr>
          <w:rFonts w:eastAsiaTheme="minorEastAsia"/>
          <w:vertAlign w:val="subscript"/>
          <w:lang w:val="en-GB"/>
        </w:rPr>
        <w:t>0</w:t>
      </w:r>
      <w:r w:rsidR="00254A50" w:rsidRPr="00642746">
        <w:rPr>
          <w:rFonts w:eastAsiaTheme="minorEastAsia"/>
          <w:lang w:val="en-GB"/>
        </w:rPr>
        <w:t xml:space="preserve"> and </w:t>
      </w:r>
      <w:r w:rsidR="00254A50" w:rsidRPr="00642746">
        <w:rPr>
          <w:rFonts w:eastAsiaTheme="minorEastAsia"/>
          <w:i/>
          <w:lang w:val="en-GB"/>
        </w:rPr>
        <w:t>V</w:t>
      </w:r>
      <w:r w:rsidR="00254A50" w:rsidRPr="00642746">
        <w:rPr>
          <w:rFonts w:eastAsiaTheme="minorEastAsia"/>
          <w:vertAlign w:val="subscript"/>
          <w:lang w:val="en-GB"/>
        </w:rPr>
        <w:t>0</w:t>
      </w:r>
      <w:r w:rsidR="00793D57" w:rsidRPr="00642746">
        <w:rPr>
          <w:rFonts w:eastAsiaTheme="minorEastAsia"/>
          <w:lang w:val="en-GB"/>
        </w:rPr>
        <w:t xml:space="preserve"> and computes value </w:t>
      </w:r>
      <w:r w:rsidR="00793D57" w:rsidRPr="00642746">
        <w:rPr>
          <w:rFonts w:eastAsiaTheme="minorEastAsia"/>
          <w:i/>
          <w:lang w:val="en-GB"/>
        </w:rPr>
        <w:t>R</w:t>
      </w:r>
      <w:r w:rsidR="00793D57" w:rsidRPr="00642746">
        <w:rPr>
          <w:rFonts w:eastAsiaTheme="minorEastAsia"/>
          <w:lang w:val="en-GB"/>
        </w:rPr>
        <w:t xml:space="preserve"> with results given in micrometres with two literals after decimal point — then the binding value is the vendor’s result unless the purchaser finds serious error in </w:t>
      </w:r>
      <w:r w:rsidR="00793D57" w:rsidRPr="008E2605">
        <w:rPr>
          <w:rFonts w:eastAsiaTheme="minorEastAsia"/>
          <w:lang w:val="en-GB"/>
        </w:rPr>
        <w:t>it.</w:t>
      </w:r>
      <w:r w:rsidR="00BF2012" w:rsidRPr="008E2605">
        <w:rPr>
          <w:rFonts w:eastAsiaTheme="minorEastAsia"/>
          <w:lang w:val="en-GB"/>
        </w:rPr>
        <w:t xml:space="preserve"> The vendor can </w:t>
      </w:r>
      <w:r w:rsidR="00D738EC" w:rsidRPr="008E2605">
        <w:rPr>
          <w:rFonts w:eastAsiaTheme="minorEastAsia"/>
          <w:lang w:val="en-GB"/>
        </w:rPr>
        <w:t>purposely</w:t>
      </w:r>
      <w:r w:rsidR="00BF2012" w:rsidRPr="008E2605">
        <w:rPr>
          <w:rFonts w:eastAsiaTheme="minorEastAsia"/>
          <w:lang w:val="en-GB"/>
        </w:rPr>
        <w:t xml:space="preserve"> claim larger value of </w:t>
      </w:r>
      <w:r w:rsidR="00BF2012" w:rsidRPr="008E2605">
        <w:rPr>
          <w:rFonts w:eastAsiaTheme="minorEastAsia"/>
          <w:i/>
          <w:lang w:val="en-GB"/>
        </w:rPr>
        <w:t>R</w:t>
      </w:r>
      <w:r w:rsidR="00BF2012" w:rsidRPr="008E2605">
        <w:rPr>
          <w:rFonts w:eastAsiaTheme="minorEastAsia"/>
          <w:lang w:val="en-GB"/>
        </w:rPr>
        <w:t xml:space="preserve"> in case they are not sure if the calculated value is reproducible within the limits of maximum admissible deviation (see below).</w:t>
      </w:r>
    </w:p>
    <w:p w:rsidR="00387F87" w:rsidRPr="00642746" w:rsidRDefault="00387F87" w:rsidP="00387F87">
      <w:pPr>
        <w:rPr>
          <w:lang w:val="en-GB"/>
        </w:rPr>
      </w:pPr>
      <w:r w:rsidRPr="00642746">
        <w:rPr>
          <w:rFonts w:eastAsiaTheme="minorEastAsia"/>
          <w:lang w:val="en-GB"/>
        </w:rPr>
        <w:t xml:space="preserve">Values of </w:t>
      </w:r>
      <w:r w:rsidR="00EE5865" w:rsidRPr="00642746">
        <w:rPr>
          <w:i/>
          <w:lang w:val="en-GB"/>
        </w:rPr>
        <w:t>T</w:t>
      </w:r>
      <w:r w:rsidR="00EE5865" w:rsidRPr="00642746">
        <w:rPr>
          <w:i/>
          <w:vertAlign w:val="subscript"/>
          <w:lang w:val="en-GB"/>
        </w:rPr>
        <w:t>m</w:t>
      </w:r>
      <w:r w:rsidR="00EE5865" w:rsidRPr="00642746">
        <w:rPr>
          <w:lang w:val="en-GB"/>
        </w:rPr>
        <w:t xml:space="preserve"> a</w:t>
      </w:r>
      <w:r w:rsidRPr="00642746">
        <w:rPr>
          <w:lang w:val="en-GB"/>
        </w:rPr>
        <w:t>nd</w:t>
      </w:r>
      <w:r w:rsidR="00EE5865" w:rsidRPr="00642746">
        <w:rPr>
          <w:lang w:val="en-GB"/>
        </w:rPr>
        <w:t xml:space="preserve"> </w:t>
      </w:r>
      <w:proofErr w:type="spellStart"/>
      <w:r w:rsidR="00EE5865" w:rsidRPr="00642746">
        <w:rPr>
          <w:i/>
          <w:lang w:val="en-GB"/>
        </w:rPr>
        <w:t>T</w:t>
      </w:r>
      <w:r w:rsidR="00EE5865" w:rsidRPr="00642746">
        <w:rPr>
          <w:i/>
          <w:vertAlign w:val="subscript"/>
          <w:lang w:val="en-GB"/>
        </w:rPr>
        <w:t>r</w:t>
      </w:r>
      <w:proofErr w:type="spellEnd"/>
      <w:r w:rsidR="00EE5865" w:rsidRPr="00642746">
        <w:rPr>
          <w:lang w:val="en-GB"/>
        </w:rPr>
        <w:t xml:space="preserve"> </w:t>
      </w:r>
      <w:r w:rsidRPr="00642746">
        <w:rPr>
          <w:lang w:val="en-GB"/>
        </w:rPr>
        <w:t xml:space="preserve">are considered as binding and will be verified upon acceptance; for the measurement and reconstruction the true elapsed time shall not take more than 1.1-multiple of </w:t>
      </w:r>
      <w:r w:rsidRPr="00642746">
        <w:rPr>
          <w:lang w:val="en-GB"/>
        </w:rPr>
        <w:lastRenderedPageBreak/>
        <w:t>given values. This is a maximum admissible deviation of values that is considered to be corresponding to declared values. I</w:t>
      </w:r>
      <w:r w:rsidR="00C8360B" w:rsidRPr="00642746">
        <w:rPr>
          <w:lang w:val="en-GB"/>
        </w:rPr>
        <w:t>f the vendor does not have exactly the same</w:t>
      </w:r>
      <w:r w:rsidRPr="00642746">
        <w:rPr>
          <w:lang w:val="en-GB"/>
        </w:rPr>
        <w:t xml:space="preserve"> equipment that </w:t>
      </w:r>
      <w:r w:rsidR="00C8360B" w:rsidRPr="00642746">
        <w:rPr>
          <w:lang w:val="en-GB"/>
        </w:rPr>
        <w:t>will be delivered, they can estimate these values, providing the estimate is conservative enough to fulfil the condition mentioned above.</w:t>
      </w:r>
    </w:p>
    <w:p w:rsidR="00EE5865" w:rsidRPr="00642746" w:rsidRDefault="00C8360B" w:rsidP="00C8360B">
      <w:pPr>
        <w:rPr>
          <w:lang w:val="en-GB"/>
        </w:rPr>
      </w:pPr>
      <w:r w:rsidRPr="00642746">
        <w:rPr>
          <w:lang w:val="en-GB"/>
        </w:rPr>
        <w:t>The values of</w:t>
      </w:r>
      <w:r w:rsidRPr="00642746">
        <w:rPr>
          <w:vertAlign w:val="subscript"/>
          <w:lang w:val="en-GB"/>
        </w:rPr>
        <w:t xml:space="preserve"> </w:t>
      </w:r>
      <w:proofErr w:type="spellStart"/>
      <w:r w:rsidR="00EE5865" w:rsidRPr="00642746">
        <w:rPr>
          <w:i/>
          <w:lang w:val="en-GB"/>
        </w:rPr>
        <w:t>X</w:t>
      </w:r>
      <w:r w:rsidR="00EE5865" w:rsidRPr="00642746">
        <w:rPr>
          <w:i/>
          <w:vertAlign w:val="subscript"/>
          <w:lang w:val="en-GB"/>
        </w:rPr>
        <w:t>r</w:t>
      </w:r>
      <w:proofErr w:type="spellEnd"/>
      <w:r w:rsidR="00EE5865" w:rsidRPr="00642746">
        <w:rPr>
          <w:lang w:val="en-GB"/>
        </w:rPr>
        <w:t xml:space="preserve">, </w:t>
      </w:r>
      <w:proofErr w:type="spellStart"/>
      <w:r w:rsidR="00EE5865" w:rsidRPr="00642746">
        <w:rPr>
          <w:i/>
          <w:lang w:val="en-GB"/>
        </w:rPr>
        <w:t>Y</w:t>
      </w:r>
      <w:r w:rsidR="00EE5865" w:rsidRPr="00642746">
        <w:rPr>
          <w:i/>
          <w:vertAlign w:val="subscript"/>
          <w:lang w:val="en-GB"/>
        </w:rPr>
        <w:t>r</w:t>
      </w:r>
      <w:proofErr w:type="spellEnd"/>
      <w:r w:rsidR="00EE5865" w:rsidRPr="00642746">
        <w:rPr>
          <w:lang w:val="en-GB"/>
        </w:rPr>
        <w:t xml:space="preserve">, </w:t>
      </w:r>
      <w:proofErr w:type="spellStart"/>
      <w:r w:rsidR="00EE5865" w:rsidRPr="00642746">
        <w:rPr>
          <w:i/>
          <w:lang w:val="en-GB"/>
        </w:rPr>
        <w:t>Z</w:t>
      </w:r>
      <w:r w:rsidR="00EE5865" w:rsidRPr="00642746">
        <w:rPr>
          <w:i/>
          <w:vertAlign w:val="subscript"/>
          <w:lang w:val="en-GB"/>
        </w:rPr>
        <w:t>r</w:t>
      </w:r>
      <w:proofErr w:type="spellEnd"/>
      <w:r w:rsidR="00EE5865" w:rsidRPr="00642746">
        <w:rPr>
          <w:lang w:val="en-GB"/>
        </w:rPr>
        <w:t xml:space="preserve"> a</w:t>
      </w:r>
      <w:r w:rsidRPr="00642746">
        <w:rPr>
          <w:lang w:val="en-GB"/>
        </w:rPr>
        <w:t>nd</w:t>
      </w:r>
      <w:r w:rsidR="00EE5865" w:rsidRPr="00642746">
        <w:rPr>
          <w:lang w:val="en-GB"/>
        </w:rPr>
        <w:t xml:space="preserve"> </w:t>
      </w:r>
      <w:proofErr w:type="spellStart"/>
      <w:r w:rsidR="00EE5865" w:rsidRPr="00642746">
        <w:rPr>
          <w:i/>
          <w:lang w:val="en-GB"/>
        </w:rPr>
        <w:t>V</w:t>
      </w:r>
      <w:r w:rsidR="00EE5865" w:rsidRPr="00642746">
        <w:rPr>
          <w:i/>
          <w:vertAlign w:val="subscript"/>
          <w:lang w:val="en-GB"/>
        </w:rPr>
        <w:t>x</w:t>
      </w:r>
      <w:proofErr w:type="spellEnd"/>
      <w:r w:rsidR="00EE5865" w:rsidRPr="00642746">
        <w:rPr>
          <w:lang w:val="en-GB"/>
        </w:rPr>
        <w:t xml:space="preserve"> </w:t>
      </w:r>
      <w:r w:rsidRPr="00642746">
        <w:rPr>
          <w:lang w:val="en-GB"/>
        </w:rPr>
        <w:t xml:space="preserve">are indicative, the vendor shall be able to set up </w:t>
      </w:r>
      <w:r w:rsidR="00761D32" w:rsidRPr="00642746">
        <w:rPr>
          <w:lang w:val="en-GB"/>
        </w:rPr>
        <w:t xml:space="preserve">such </w:t>
      </w:r>
      <w:r w:rsidRPr="00642746">
        <w:rPr>
          <w:lang w:val="en-GB"/>
        </w:rPr>
        <w:t xml:space="preserve">experiment </w:t>
      </w:r>
      <w:r w:rsidR="00761D32" w:rsidRPr="00642746">
        <w:rPr>
          <w:lang w:val="en-GB"/>
        </w:rPr>
        <w:t xml:space="preserve">conditions </w:t>
      </w:r>
      <w:r w:rsidRPr="00642746">
        <w:rPr>
          <w:lang w:val="en-GB"/>
        </w:rPr>
        <w:t xml:space="preserve">during </w:t>
      </w:r>
      <w:r w:rsidR="00761D32" w:rsidRPr="00642746">
        <w:rPr>
          <w:lang w:val="en-GB"/>
        </w:rPr>
        <w:t xml:space="preserve">the </w:t>
      </w:r>
      <w:r w:rsidRPr="00642746">
        <w:rPr>
          <w:lang w:val="en-GB"/>
        </w:rPr>
        <w:t xml:space="preserve">acceptance test that these values do not differ more than </w:t>
      </w:r>
      <w:r w:rsidR="00EE5865" w:rsidRPr="00642746">
        <w:rPr>
          <w:lang w:val="en-GB"/>
        </w:rPr>
        <w:t xml:space="preserve">±10% </w:t>
      </w:r>
      <w:r w:rsidRPr="00642746">
        <w:rPr>
          <w:lang w:val="en-GB"/>
        </w:rPr>
        <w:t xml:space="preserve">from </w:t>
      </w:r>
      <w:r w:rsidR="00EC5F36" w:rsidRPr="00642746">
        <w:rPr>
          <w:lang w:val="en-GB"/>
        </w:rPr>
        <w:t xml:space="preserve">declared </w:t>
      </w:r>
      <w:r w:rsidRPr="00642746">
        <w:rPr>
          <w:lang w:val="en-GB"/>
        </w:rPr>
        <w:t>values.</w:t>
      </w:r>
    </w:p>
    <w:p w:rsidR="00C8360B" w:rsidRPr="00642746" w:rsidRDefault="00C8360B" w:rsidP="00C8360B">
      <w:pPr>
        <w:rPr>
          <w:lang w:val="en-GB"/>
        </w:rPr>
      </w:pPr>
      <w:r w:rsidRPr="00642746">
        <w:rPr>
          <w:lang w:val="en-GB"/>
        </w:rPr>
        <w:t xml:space="preserve">The value </w:t>
      </w:r>
      <w:r w:rsidR="00EE5865" w:rsidRPr="00642746">
        <w:rPr>
          <w:i/>
          <w:lang w:val="en-GB"/>
        </w:rPr>
        <w:t>R</w:t>
      </w:r>
      <w:r w:rsidR="00EE5865" w:rsidRPr="00642746">
        <w:rPr>
          <w:lang w:val="en-GB"/>
        </w:rPr>
        <w:t xml:space="preserve"> </w:t>
      </w:r>
      <w:r w:rsidRPr="00642746">
        <w:rPr>
          <w:lang w:val="en-GB"/>
        </w:rPr>
        <w:t xml:space="preserve">is binding. The vendor shall be able to repeat the proceedings of data analysis that </w:t>
      </w:r>
      <w:r w:rsidR="00BF2012" w:rsidRPr="00642746">
        <w:rPr>
          <w:lang w:val="en-GB"/>
        </w:rPr>
        <w:t>was</w:t>
      </w:r>
      <w:r w:rsidRPr="00642746">
        <w:rPr>
          <w:lang w:val="en-GB"/>
        </w:rPr>
        <w:t xml:space="preserve"> used to prepare the bid, while the resulting value of </w:t>
      </w:r>
      <w:r w:rsidRPr="00642746">
        <w:rPr>
          <w:i/>
          <w:lang w:val="en-GB"/>
        </w:rPr>
        <w:t>R</w:t>
      </w:r>
      <w:r w:rsidRPr="00642746">
        <w:rPr>
          <w:lang w:val="en-GB"/>
        </w:rPr>
        <w:t xml:space="preserve"> shall not yield greater number than 1.2-multiple of declared value (or value that was calculated by the purchaser). This is a maximum admissible deviation of this value that is considered to be corresponding to declared value. For verification, the same specimen of titanium foam will be used — it shall be kept by the vendor for this purpose. Should the identity of the specimen come into question, the purchaser is entitled to verify the authenticity of the specimen by scanning the </w:t>
      </w:r>
      <w:r w:rsidR="00BC6DB7" w:rsidRPr="00642746">
        <w:rPr>
          <w:lang w:val="en-GB"/>
        </w:rPr>
        <w:t>polished facet of the specimen in SEM and compare it with the original image that was recorded and that was also handed to the vendor with the specimen.</w:t>
      </w:r>
    </w:p>
    <w:p w:rsidR="00EE5865" w:rsidRPr="00642746" w:rsidRDefault="00EE5865" w:rsidP="00EE5865">
      <w:pPr>
        <w:rPr>
          <w:lang w:val="en-GB"/>
        </w:rPr>
      </w:pPr>
    </w:p>
    <w:p w:rsidR="00EE5865" w:rsidRPr="00642746" w:rsidRDefault="00EE5865" w:rsidP="00EE5865">
      <w:pPr>
        <w:rPr>
          <w:lang w:val="en-GB"/>
        </w:rPr>
      </w:pPr>
    </w:p>
    <w:p w:rsidR="00EE5865" w:rsidRPr="00642746" w:rsidRDefault="00EE5865" w:rsidP="00436D9E">
      <w:pPr>
        <w:rPr>
          <w:lang w:val="en-GB"/>
        </w:rPr>
      </w:pPr>
    </w:p>
    <w:sectPr w:rsidR="00EE5865" w:rsidRPr="00642746" w:rsidSect="007D7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DCD"/>
    <w:multiLevelType w:val="hybridMultilevel"/>
    <w:tmpl w:val="7598AAAA"/>
    <w:lvl w:ilvl="0" w:tplc="70A00F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E657E7"/>
    <w:multiLevelType w:val="hybridMultilevel"/>
    <w:tmpl w:val="E566FA5C"/>
    <w:lvl w:ilvl="0" w:tplc="40D6C5BC">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E307CE6"/>
    <w:multiLevelType w:val="hybridMultilevel"/>
    <w:tmpl w:val="9B42AAC8"/>
    <w:lvl w:ilvl="0" w:tplc="B310F1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13F5720"/>
    <w:multiLevelType w:val="hybridMultilevel"/>
    <w:tmpl w:val="D81AE09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330505E"/>
    <w:multiLevelType w:val="hybridMultilevel"/>
    <w:tmpl w:val="DE7E0CDE"/>
    <w:lvl w:ilvl="0" w:tplc="70A00FB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92"/>
    <w:rsid w:val="00022D8F"/>
    <w:rsid w:val="00037F02"/>
    <w:rsid w:val="000A2D96"/>
    <w:rsid w:val="000B5557"/>
    <w:rsid w:val="000F483D"/>
    <w:rsid w:val="00100A19"/>
    <w:rsid w:val="00164740"/>
    <w:rsid w:val="001B3AA3"/>
    <w:rsid w:val="001C0B0C"/>
    <w:rsid w:val="001E28DF"/>
    <w:rsid w:val="002030B0"/>
    <w:rsid w:val="00220D4E"/>
    <w:rsid w:val="00236287"/>
    <w:rsid w:val="00254A50"/>
    <w:rsid w:val="00280579"/>
    <w:rsid w:val="002C6AB1"/>
    <w:rsid w:val="002D3967"/>
    <w:rsid w:val="002D6450"/>
    <w:rsid w:val="002D7C65"/>
    <w:rsid w:val="002E52D4"/>
    <w:rsid w:val="00310E5A"/>
    <w:rsid w:val="00362121"/>
    <w:rsid w:val="00363E23"/>
    <w:rsid w:val="00387F87"/>
    <w:rsid w:val="0039076E"/>
    <w:rsid w:val="003916CB"/>
    <w:rsid w:val="003B0026"/>
    <w:rsid w:val="003B35CE"/>
    <w:rsid w:val="00436D9E"/>
    <w:rsid w:val="004439C5"/>
    <w:rsid w:val="00464D91"/>
    <w:rsid w:val="00560E2B"/>
    <w:rsid w:val="005655A1"/>
    <w:rsid w:val="005D5B67"/>
    <w:rsid w:val="005E3B02"/>
    <w:rsid w:val="005E40F6"/>
    <w:rsid w:val="00626D81"/>
    <w:rsid w:val="00630D4E"/>
    <w:rsid w:val="00642746"/>
    <w:rsid w:val="00682BF7"/>
    <w:rsid w:val="00735B40"/>
    <w:rsid w:val="0073757A"/>
    <w:rsid w:val="00741877"/>
    <w:rsid w:val="00761D32"/>
    <w:rsid w:val="00775444"/>
    <w:rsid w:val="00793D57"/>
    <w:rsid w:val="007C2699"/>
    <w:rsid w:val="007D7F3A"/>
    <w:rsid w:val="007E3492"/>
    <w:rsid w:val="007F6D37"/>
    <w:rsid w:val="008355C9"/>
    <w:rsid w:val="0085661E"/>
    <w:rsid w:val="008B0BF3"/>
    <w:rsid w:val="008C556C"/>
    <w:rsid w:val="008D3945"/>
    <w:rsid w:val="008D691C"/>
    <w:rsid w:val="008E2605"/>
    <w:rsid w:val="009153AD"/>
    <w:rsid w:val="00922AB3"/>
    <w:rsid w:val="00942E79"/>
    <w:rsid w:val="00951D0E"/>
    <w:rsid w:val="009951AC"/>
    <w:rsid w:val="009F2989"/>
    <w:rsid w:val="009F3C18"/>
    <w:rsid w:val="00A12C98"/>
    <w:rsid w:val="00A136F7"/>
    <w:rsid w:val="00A42D7E"/>
    <w:rsid w:val="00A5297C"/>
    <w:rsid w:val="00A769F2"/>
    <w:rsid w:val="00A80262"/>
    <w:rsid w:val="00A96EEF"/>
    <w:rsid w:val="00AB33BB"/>
    <w:rsid w:val="00AC5DCE"/>
    <w:rsid w:val="00AC65B7"/>
    <w:rsid w:val="00AC6851"/>
    <w:rsid w:val="00AD0841"/>
    <w:rsid w:val="00B34BA5"/>
    <w:rsid w:val="00B42D5F"/>
    <w:rsid w:val="00B63795"/>
    <w:rsid w:val="00B70F08"/>
    <w:rsid w:val="00BA37CA"/>
    <w:rsid w:val="00BC6DB7"/>
    <w:rsid w:val="00BD02C4"/>
    <w:rsid w:val="00BD5535"/>
    <w:rsid w:val="00BE2C3A"/>
    <w:rsid w:val="00BF2012"/>
    <w:rsid w:val="00C20F45"/>
    <w:rsid w:val="00C4246B"/>
    <w:rsid w:val="00C54CF0"/>
    <w:rsid w:val="00C8360B"/>
    <w:rsid w:val="00CD5485"/>
    <w:rsid w:val="00D0799C"/>
    <w:rsid w:val="00D24476"/>
    <w:rsid w:val="00D738EC"/>
    <w:rsid w:val="00D754EC"/>
    <w:rsid w:val="00D93686"/>
    <w:rsid w:val="00DE010C"/>
    <w:rsid w:val="00DE10FF"/>
    <w:rsid w:val="00DF02BE"/>
    <w:rsid w:val="00E53148"/>
    <w:rsid w:val="00E7009D"/>
    <w:rsid w:val="00E8331C"/>
    <w:rsid w:val="00E85759"/>
    <w:rsid w:val="00EA297C"/>
    <w:rsid w:val="00EC5F36"/>
    <w:rsid w:val="00EE5865"/>
    <w:rsid w:val="00F05DAF"/>
    <w:rsid w:val="00F14524"/>
    <w:rsid w:val="00F66FDC"/>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8B004-300B-4D4B-A7D5-3D83F1EF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7F3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E3492"/>
    <w:pPr>
      <w:ind w:left="720"/>
      <w:contextualSpacing/>
    </w:pPr>
  </w:style>
  <w:style w:type="character" w:styleId="Zstupntext">
    <w:name w:val="Placeholder Text"/>
    <w:basedOn w:val="Standardnpsmoodstavce"/>
    <w:uiPriority w:val="99"/>
    <w:semiHidden/>
    <w:rsid w:val="00741877"/>
    <w:rPr>
      <w:color w:val="808080"/>
    </w:rPr>
  </w:style>
  <w:style w:type="table" w:styleId="Mkatabulky">
    <w:name w:val="Table Grid"/>
    <w:basedOn w:val="Normlntabulka"/>
    <w:uiPriority w:val="39"/>
    <w:rsid w:val="00A5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037F02"/>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3B00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0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FD12C-3757-4C0F-9B0B-5148B927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2931</Words>
  <Characters>17297</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Václav Kafka</cp:lastModifiedBy>
  <cp:revision>3</cp:revision>
  <dcterms:created xsi:type="dcterms:W3CDTF">2020-11-20T15:43:00Z</dcterms:created>
  <dcterms:modified xsi:type="dcterms:W3CDTF">2020-12-12T07:08:00Z</dcterms:modified>
</cp:coreProperties>
</file>